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 xml:space="preserve">#98bis                                         </w:t>
      </w:r>
      <w:r>
        <w:rPr>
          <w:rFonts w:cs="Arial"/>
          <w:bCs/>
          <w:sz w:val="22"/>
          <w:szCs w:val="22"/>
          <w:lang w:eastAsia="zh-CN"/>
        </w:rPr>
        <w:t xml:space="preserve"> </w:t>
      </w:r>
      <w:r>
        <w:rPr>
          <w:rFonts w:hint="eastAsia" w:cs="Arial"/>
          <w:bCs/>
          <w:sz w:val="22"/>
          <w:szCs w:val="22"/>
          <w:lang w:eastAsia="zh-CN"/>
        </w:rPr>
        <w:t>R1-1910112</w:t>
      </w:r>
    </w:p>
    <w:bookmarkEnd w:id="0"/>
    <w:p>
      <w:pPr>
        <w:pStyle w:val="23"/>
        <w:snapToGrid w:val="0"/>
        <w:spacing w:after="180" w:afterLines="50" w:line="240" w:lineRule="auto"/>
        <w:rPr>
          <w:sz w:val="22"/>
          <w:szCs w:val="22"/>
          <w:lang w:eastAsia="ja-JP"/>
        </w:rPr>
      </w:pPr>
      <w:r>
        <w:rPr>
          <w:rFonts w:hint="eastAsia" w:eastAsia="宋体" w:cs="Arial"/>
          <w:bCs/>
          <w:sz w:val="22"/>
          <w:szCs w:val="22"/>
          <w:lang w:eastAsia="zh-CN"/>
        </w:rPr>
        <w:t>Chongqing</w:t>
      </w:r>
      <w:r>
        <w:rPr>
          <w:rFonts w:eastAsia="MS Mincho" w:cs="Arial"/>
          <w:bCs/>
          <w:sz w:val="22"/>
          <w:szCs w:val="22"/>
          <w:lang w:eastAsia="ja-JP"/>
        </w:rPr>
        <w:t xml:space="preserve">, </w:t>
      </w:r>
      <w:r>
        <w:rPr>
          <w:rFonts w:hint="eastAsia" w:eastAsia="宋体" w:cs="Arial"/>
          <w:bCs/>
          <w:sz w:val="22"/>
          <w:szCs w:val="22"/>
          <w:lang w:eastAsia="zh-CN"/>
        </w:rPr>
        <w:t>China</w:t>
      </w:r>
      <w:r>
        <w:rPr>
          <w:rFonts w:eastAsia="MS Mincho" w:cs="Arial"/>
          <w:bCs/>
          <w:sz w:val="22"/>
          <w:szCs w:val="22"/>
          <w:lang w:eastAsia="ja-JP"/>
        </w:rPr>
        <w:t>, October 14</w:t>
      </w:r>
      <w:r>
        <w:rPr>
          <w:rFonts w:eastAsia="MS Mincho" w:cs="Arial"/>
          <w:bCs/>
          <w:sz w:val="22"/>
          <w:szCs w:val="22"/>
          <w:vertAlign w:val="superscript"/>
          <w:lang w:eastAsia="ja-JP"/>
        </w:rPr>
        <w:t>th</w:t>
      </w:r>
      <w:r>
        <w:rPr>
          <w:rFonts w:eastAsia="MS Mincho" w:cs="Arial"/>
          <w:bCs/>
          <w:sz w:val="22"/>
          <w:szCs w:val="22"/>
          <w:lang w:eastAsia="ja-JP"/>
        </w:rPr>
        <w:t xml:space="preserve"> – 20</w:t>
      </w:r>
      <w:r>
        <w:rPr>
          <w:rFonts w:eastAsia="MS Mincho" w:cs="Arial"/>
          <w:bCs/>
          <w:sz w:val="22"/>
          <w:szCs w:val="22"/>
          <w:vertAlign w:val="superscript"/>
          <w:lang w:eastAsia="ja-JP"/>
        </w:rPr>
        <w:t>th</w:t>
      </w:r>
      <w:r>
        <w:rPr>
          <w:rFonts w:eastAsia="MS Mincho" w:cs="Arial"/>
          <w:bCs/>
          <w:sz w:val="22"/>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Discussion on NR Mobility Enhancements in Physical Layer</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7.2.12.1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rPr>
          <w:rFonts w:eastAsia="宋体"/>
          <w:lang w:val="en-US" w:eastAsia="zh-CN"/>
        </w:rPr>
      </w:pPr>
      <w:r>
        <w:rPr>
          <w:rFonts w:hint="eastAsia" w:eastAsia="宋体"/>
          <w:lang w:val="en-US" w:eastAsia="zh-CN"/>
        </w:rPr>
        <w:t>In RAN2#107, it was agreed that RACH-less handover is not considered in this WI but can be revisited if CFRA is not agreed to be part of 2-step in Rel-16 [1]. Besides</w:t>
      </w:r>
      <w:r>
        <w:rPr>
          <w:rFonts w:hint="eastAsia" w:eastAsiaTheme="minorEastAsia"/>
          <w:iCs/>
          <w:kern w:val="2"/>
          <w:lang w:val="en-US" w:eastAsia="zh-CN"/>
        </w:rPr>
        <w:t xml:space="preserve">, dual active protocol stack approach (i.e. LTE eMBB) was agreed for NR mobility enhancement, which is aligned to the discussion in further enhanced mobility in LTE. </w:t>
      </w:r>
      <w:r>
        <w:rPr>
          <w:rFonts w:hint="eastAsia" w:eastAsia="宋体"/>
          <w:lang w:val="en-US" w:eastAsia="zh-CN"/>
        </w:rPr>
        <w:t xml:space="preserve">In RAN#85, it was agreed that CFRA is added into 2-step WI scope [2]. </w:t>
      </w:r>
      <w:r>
        <w:rPr>
          <w:rFonts w:hint="eastAsia" w:eastAsiaTheme="minorEastAsia"/>
          <w:iCs/>
          <w:kern w:val="2"/>
          <w:lang w:val="en-US" w:eastAsia="zh-CN"/>
        </w:rPr>
        <w:t xml:space="preserve">Therefore, there is no need to discuss RACH-less solution in this WI. </w:t>
      </w:r>
      <w:r>
        <w:rPr>
          <w:rFonts w:hint="eastAsia" w:eastAsia="宋体"/>
          <w:lang w:val="en-US" w:eastAsia="zh-CN"/>
        </w:rPr>
        <w:t>In RAN1#98, some potential physical layer issues for dual active protocol stack based solution were listed for further study as captured below [3].</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0"/>
              <w:rPr>
                <w:b/>
                <w:bCs/>
                <w:u w:val="single"/>
              </w:rPr>
            </w:pPr>
            <w:r>
              <w:rPr>
                <w:b/>
                <w:bCs/>
                <w:u w:val="single"/>
              </w:rPr>
              <w:t>Conclusion:</w:t>
            </w:r>
          </w:p>
          <w:p>
            <w:pPr>
              <w:pStyle w:val="110"/>
              <w:numPr>
                <w:ilvl w:val="0"/>
                <w:numId w:val="2"/>
              </w:numPr>
              <w:snapToGrid w:val="0"/>
              <w:spacing w:after="0"/>
              <w:ind w:left="-120" w:firstLine="400"/>
            </w:pPr>
            <w:r>
              <w:t>Companies are encouraged to provide views and proposals to complete the physical layer specification in the next meeting for dual active protocol stack (DAPS) based HO solution agreed in RAN2.</w:t>
            </w:r>
          </w:p>
          <w:p>
            <w:pPr>
              <w:pStyle w:val="110"/>
              <w:numPr>
                <w:ilvl w:val="1"/>
                <w:numId w:val="2"/>
              </w:numPr>
              <w:snapToGrid w:val="0"/>
              <w:spacing w:after="0"/>
              <w:ind w:left="600" w:firstLine="400"/>
            </w:pPr>
            <w:r>
              <w:t>The following are list of potential physical layer aspects that may be relevant for discussion:</w:t>
            </w:r>
          </w:p>
          <w:p>
            <w:pPr>
              <w:pStyle w:val="110"/>
              <w:numPr>
                <w:ilvl w:val="2"/>
                <w:numId w:val="2"/>
              </w:numPr>
              <w:snapToGrid w:val="0"/>
              <w:spacing w:after="0"/>
              <w:ind w:left="1320" w:firstLine="400"/>
            </w:pPr>
            <w:r>
              <w:t>How to leverage features supported by Multi-TRP WI</w:t>
            </w:r>
          </w:p>
          <w:p>
            <w:pPr>
              <w:pStyle w:val="110"/>
              <w:numPr>
                <w:ilvl w:val="2"/>
                <w:numId w:val="2"/>
              </w:numPr>
              <w:snapToGrid w:val="0"/>
              <w:spacing w:after="0"/>
              <w:ind w:left="1320" w:firstLine="400"/>
            </w:pPr>
            <w:r>
              <w:t>Procedures related to DL/UL operation</w:t>
            </w:r>
          </w:p>
          <w:p>
            <w:pPr>
              <w:pStyle w:val="110"/>
              <w:numPr>
                <w:ilvl w:val="3"/>
                <w:numId w:val="2"/>
              </w:numPr>
              <w:snapToGrid w:val="0"/>
              <w:spacing w:after="0"/>
              <w:ind w:left="2040" w:firstLine="400"/>
            </w:pPr>
            <w:r>
              <w:t>PDCCH monitoring, CORESET, and Search Space configuration for source and target cells</w:t>
            </w:r>
          </w:p>
          <w:p>
            <w:pPr>
              <w:pStyle w:val="110"/>
              <w:numPr>
                <w:ilvl w:val="3"/>
                <w:numId w:val="2"/>
              </w:numPr>
              <w:snapToGrid w:val="0"/>
              <w:spacing w:after="0"/>
              <w:ind w:left="2040" w:firstLine="400"/>
            </w:pPr>
            <w:r>
              <w:t>PDSCH resource allocation and transmission for source and target cells</w:t>
            </w:r>
          </w:p>
          <w:p>
            <w:pPr>
              <w:pStyle w:val="110"/>
              <w:numPr>
                <w:ilvl w:val="4"/>
                <w:numId w:val="2"/>
              </w:numPr>
              <w:snapToGrid w:val="0"/>
              <w:spacing w:after="0"/>
              <w:ind w:left="2760" w:firstLine="400"/>
            </w:pPr>
            <w:r>
              <w:t>How the simultaneous reception is performed, e.g. TDM</w:t>
            </w:r>
          </w:p>
          <w:p>
            <w:pPr>
              <w:pStyle w:val="110"/>
              <w:numPr>
                <w:ilvl w:val="3"/>
                <w:numId w:val="2"/>
              </w:numPr>
              <w:snapToGrid w:val="0"/>
              <w:spacing w:after="0"/>
              <w:ind w:left="2040" w:firstLine="400"/>
            </w:pPr>
            <w:r>
              <w:t>PUSCH resource allocation and transmission</w:t>
            </w:r>
          </w:p>
          <w:p>
            <w:pPr>
              <w:pStyle w:val="110"/>
              <w:numPr>
                <w:ilvl w:val="4"/>
                <w:numId w:val="2"/>
              </w:numPr>
              <w:snapToGrid w:val="0"/>
              <w:spacing w:after="0"/>
              <w:ind w:left="2760" w:firstLine="400"/>
            </w:pPr>
            <w:r>
              <w:t>How the simultaneous transmission is performed, e.g. TDM</w:t>
            </w:r>
          </w:p>
          <w:p>
            <w:pPr>
              <w:pStyle w:val="110"/>
              <w:numPr>
                <w:ilvl w:val="4"/>
                <w:numId w:val="2"/>
              </w:numPr>
              <w:snapToGrid w:val="0"/>
              <w:spacing w:after="0"/>
              <w:ind w:left="2760" w:firstLine="400"/>
            </w:pPr>
            <w:r>
              <w:t>Multi-beam PUSCH transmission (e.g. repetition of PUSCH)</w:t>
            </w:r>
          </w:p>
          <w:p>
            <w:pPr>
              <w:pStyle w:val="110"/>
              <w:numPr>
                <w:ilvl w:val="4"/>
                <w:numId w:val="2"/>
              </w:numPr>
              <w:snapToGrid w:val="0"/>
              <w:spacing w:after="0"/>
              <w:ind w:left="2760" w:firstLine="400"/>
            </w:pPr>
            <w:r>
              <w:t>Physical layer functionality needed to support RAN2 agreement, “Simultaneous UL PUSCH transmission does not need to be supported for the HO interruption solution.”.</w:t>
            </w:r>
          </w:p>
          <w:p>
            <w:pPr>
              <w:pStyle w:val="110"/>
              <w:numPr>
                <w:ilvl w:val="3"/>
                <w:numId w:val="2"/>
              </w:numPr>
              <w:snapToGrid w:val="0"/>
              <w:spacing w:after="0"/>
              <w:ind w:left="2040" w:firstLine="400"/>
            </w:pPr>
            <w:r>
              <w:t>HARQ-ACK, CSI, SR feedback</w:t>
            </w:r>
          </w:p>
          <w:p>
            <w:pPr>
              <w:pStyle w:val="110"/>
              <w:numPr>
                <w:ilvl w:val="3"/>
                <w:numId w:val="2"/>
              </w:numPr>
              <w:snapToGrid w:val="0"/>
              <w:spacing w:after="0"/>
              <w:ind w:left="2040" w:firstLine="400"/>
            </w:pPr>
            <w:r>
              <w:t>Uplink TA adjustments</w:t>
            </w:r>
          </w:p>
          <w:p>
            <w:pPr>
              <w:pStyle w:val="110"/>
              <w:numPr>
                <w:ilvl w:val="3"/>
                <w:numId w:val="2"/>
              </w:numPr>
              <w:snapToGrid w:val="0"/>
              <w:spacing w:after="0"/>
              <w:ind w:left="2040" w:firstLine="400"/>
            </w:pPr>
            <w:r>
              <w:t xml:space="preserve">Power control for PUSCH/PUCCH/SRS </w:t>
            </w:r>
          </w:p>
          <w:p>
            <w:pPr>
              <w:pStyle w:val="110"/>
              <w:numPr>
                <w:ilvl w:val="3"/>
                <w:numId w:val="2"/>
              </w:numPr>
              <w:snapToGrid w:val="0"/>
              <w:spacing w:after="0"/>
              <w:ind w:left="2040" w:firstLine="400"/>
            </w:pPr>
            <w:r>
              <w:t>Any other Tx/Rx beam related aspects</w:t>
            </w:r>
          </w:p>
          <w:p>
            <w:pPr>
              <w:pStyle w:val="110"/>
              <w:numPr>
                <w:ilvl w:val="3"/>
                <w:numId w:val="2"/>
              </w:numPr>
              <w:snapToGrid w:val="0"/>
              <w:spacing w:after="0"/>
              <w:ind w:left="2040" w:firstLine="400"/>
            </w:pPr>
            <w:r>
              <w:t>Physical layer aspects required to support DAPS based HO solution in FR2 (including determining feasibility and whether or not support feature for FR2)</w:t>
            </w:r>
          </w:p>
          <w:p>
            <w:pPr>
              <w:pStyle w:val="110"/>
              <w:numPr>
                <w:ilvl w:val="2"/>
                <w:numId w:val="2"/>
              </w:numPr>
              <w:snapToGrid w:val="0"/>
              <w:spacing w:after="0"/>
              <w:ind w:left="1320" w:firstLine="400"/>
              <w:rPr>
                <w:rFonts w:eastAsia="宋体"/>
                <w:lang w:val="en-US" w:eastAsia="zh-CN"/>
              </w:rPr>
            </w:pPr>
            <w:r>
              <w:t>UE capability aspects</w:t>
            </w:r>
          </w:p>
        </w:tc>
      </w:tr>
    </w:tbl>
    <w:p>
      <w:pPr>
        <w:snapToGrid w:val="0"/>
        <w:spacing w:after="120"/>
        <w:rPr>
          <w:rFonts w:eastAsia="宋体"/>
          <w:lang w:val="en-US" w:eastAsia="zh-CN"/>
        </w:rPr>
      </w:pPr>
    </w:p>
    <w:p>
      <w:pPr>
        <w:snapToGrid w:val="0"/>
        <w:rPr>
          <w:rFonts w:eastAsia="宋体"/>
          <w:lang w:val="en-US" w:eastAsia="zh-CN"/>
        </w:rPr>
      </w:pPr>
      <w:r>
        <w:rPr>
          <w:rFonts w:hint="eastAsia" w:eastAsia="宋体"/>
          <w:lang w:val="en-US" w:eastAsia="zh-CN"/>
        </w:rPr>
        <w:t xml:space="preserve">In this contribution, </w:t>
      </w:r>
      <w:r>
        <w:rPr>
          <w:rFonts w:eastAsia="宋体"/>
          <w:lang w:val="en-US" w:eastAsia="zh-CN"/>
        </w:rPr>
        <w:t>the</w:t>
      </w:r>
      <w:r>
        <w:rPr>
          <w:rFonts w:hint="eastAsia" w:eastAsia="宋体"/>
          <w:lang w:val="en-US" w:eastAsia="zh-CN"/>
        </w:rPr>
        <w:t xml:space="preserve"> above</w:t>
      </w:r>
      <w:r>
        <w:rPr>
          <w:rFonts w:eastAsia="宋体"/>
          <w:lang w:val="en-US" w:eastAsia="zh-CN"/>
        </w:rPr>
        <w:t xml:space="preserve"> </w:t>
      </w:r>
      <w:r>
        <w:rPr>
          <w:rFonts w:hint="eastAsia" w:eastAsia="宋体"/>
          <w:lang w:val="en-US" w:eastAsia="zh-CN"/>
        </w:rPr>
        <w:t>listed physical layer issues are</w:t>
      </w:r>
      <w:r>
        <w:rPr>
          <w:rFonts w:eastAsia="宋体"/>
          <w:lang w:val="en-US" w:eastAsia="zh-CN"/>
        </w:rPr>
        <w:t xml:space="preserve"> discussed.</w:t>
      </w:r>
    </w:p>
    <w:p>
      <w:pPr>
        <w:pStyle w:val="2"/>
        <w:snapToGrid w:val="0"/>
        <w:spacing w:beforeLines="0" w:after="180" w:afterLines="50"/>
      </w:pPr>
      <w:r>
        <w:rPr>
          <w:rFonts w:hint="eastAsia"/>
          <w:lang w:val="en-US"/>
        </w:rPr>
        <w:t>Dual active protocol stack solution</w:t>
      </w:r>
    </w:p>
    <w:p>
      <w:pPr>
        <w:snapToGrid w:val="0"/>
        <w:spacing w:before="180" w:beforeLines="50"/>
        <w:rPr>
          <w:lang w:val="en-US" w:eastAsia="zh-CN"/>
        </w:rPr>
      </w:pPr>
      <w:r>
        <w:rPr>
          <w:rFonts w:hint="eastAsia" w:eastAsiaTheme="minorEastAsia"/>
          <w:kern w:val="2"/>
          <w:lang w:val="en-US" w:eastAsia="zh-CN"/>
        </w:rPr>
        <w:t>For dual active protocol stack(DAPS), a UE may maintain two protocol stack during handover. One protocol stack is used for transmission in source cell and the other one is used for target cell. Compared to the traditional handover, the main difference of DAPS in physical layer is that a UE will continue to keep the connection with the source cell after receiving HO command until it is instructed to release the source cell by network. Dual connectivity with source cell and target cell occurs in the handover execution stage and handover completion stage. During dual connectivity stage a UE may receive PDCCH/PDSCH simultaneously</w:t>
      </w:r>
      <w:r>
        <w:rPr>
          <w:rFonts w:eastAsiaTheme="minorEastAsia"/>
          <w:kern w:val="2"/>
          <w:lang w:val="en-US" w:eastAsia="zh-CN"/>
        </w:rPr>
        <w:t xml:space="preserve"> from target and source cells</w:t>
      </w:r>
      <w:r>
        <w:rPr>
          <w:rFonts w:hint="eastAsia" w:eastAsiaTheme="minorEastAsia"/>
          <w:kern w:val="2"/>
          <w:lang w:val="en-US" w:eastAsia="zh-CN"/>
        </w:rPr>
        <w:t xml:space="preserve">. For uplink transmission, RAN2 agreed that it is not required to support simultaneous UL PUSCH transmission carrying data for the HO interruption solution [4]. </w:t>
      </w:r>
      <w:r>
        <w:rPr>
          <w:lang w:val="en-US" w:eastAsia="zh-CN"/>
        </w:rPr>
        <w:t>There is a point in time where the UL PUSCH switches from source to target.</w:t>
      </w:r>
      <w:r>
        <w:rPr>
          <w:rFonts w:hint="eastAsia"/>
          <w:lang w:val="en-US" w:eastAsia="zh-CN"/>
        </w:rPr>
        <w:t xml:space="preserve"> After this point, a UE can transmit uplink data on PUSCH only in target cell. In source cell, it may be still possible for a UE to transmit PUCCH carrying HARQ-ACK, CSI report and SR and transmit PUSCH carrying only RLC status report. Therefore, simultaneous uplink transmission can still occur. </w:t>
      </w:r>
    </w:p>
    <w:p>
      <w:pPr>
        <w:pStyle w:val="3"/>
        <w:numPr>
          <w:ilvl w:val="1"/>
          <w:numId w:val="1"/>
        </w:numPr>
        <w:snapToGrid w:val="0"/>
        <w:rPr>
          <w:iCs w:val="0"/>
          <w:lang w:eastAsia="zh-CN"/>
        </w:rPr>
      </w:pPr>
      <w:r>
        <w:rPr>
          <w:rFonts w:hint="eastAsia"/>
          <w:lang w:eastAsia="zh-CN"/>
        </w:rPr>
        <w:t>How to leverage multi-TRP design</w:t>
      </w:r>
    </w:p>
    <w:p>
      <w:pPr>
        <w:snapToGrid w:val="0"/>
        <w:rPr>
          <w:rFonts w:eastAsia="宋体"/>
          <w:kern w:val="2"/>
          <w:lang w:val="en-US" w:eastAsia="zh-CN"/>
        </w:rPr>
      </w:pPr>
      <w:r>
        <w:rPr>
          <w:rFonts w:hint="eastAsia" w:eastAsiaTheme="minorEastAsia"/>
          <w:iCs/>
          <w:kern w:val="2"/>
          <w:lang w:val="en-US" w:eastAsia="zh-CN"/>
        </w:rPr>
        <w:t>In previous</w:t>
      </w:r>
      <w:r>
        <w:rPr>
          <w:rFonts w:eastAsiaTheme="minorEastAsia"/>
          <w:iCs/>
          <w:kern w:val="2"/>
          <w:lang w:val="en-US" w:eastAsia="zh-CN"/>
        </w:rPr>
        <w:t xml:space="preserve"> RAN1</w:t>
      </w:r>
      <w:r>
        <w:rPr>
          <w:rFonts w:hint="eastAsia" w:eastAsiaTheme="minorEastAsia"/>
          <w:iCs/>
          <w:kern w:val="2"/>
          <w:lang w:val="en-US" w:eastAsia="zh-CN"/>
        </w:rPr>
        <w:t xml:space="preserve"> meetings, there was discussion</w:t>
      </w:r>
      <w:r>
        <w:rPr>
          <w:rFonts w:eastAsiaTheme="minorEastAsia"/>
          <w:iCs/>
          <w:kern w:val="2"/>
          <w:lang w:val="en-US" w:eastAsia="zh-CN"/>
        </w:rPr>
        <w:t xml:space="preserve"> on</w:t>
      </w:r>
      <w:r>
        <w:rPr>
          <w:rFonts w:hint="eastAsia" w:eastAsiaTheme="minorEastAsia"/>
          <w:iCs/>
          <w:kern w:val="2"/>
          <w:lang w:val="en-US" w:eastAsia="zh-CN"/>
        </w:rPr>
        <w:t xml:space="preserve"> whether some of </w:t>
      </w:r>
      <w:r>
        <w:rPr>
          <w:rFonts w:eastAsiaTheme="minorEastAsia"/>
          <w:iCs/>
          <w:kern w:val="2"/>
          <w:lang w:val="en-US" w:eastAsia="zh-CN"/>
        </w:rPr>
        <w:t xml:space="preserve">designs considered in </w:t>
      </w:r>
      <w:r>
        <w:rPr>
          <w:rFonts w:hint="eastAsia" w:eastAsiaTheme="minorEastAsia"/>
          <w:iCs/>
          <w:kern w:val="2"/>
          <w:lang w:val="en-US" w:eastAsia="zh-CN"/>
        </w:rPr>
        <w:t>the o</w:t>
      </w:r>
      <w:r>
        <w:rPr>
          <w:rFonts w:eastAsiaTheme="minorEastAsia"/>
          <w:iCs/>
          <w:kern w:val="2"/>
          <w:lang w:val="en-US" w:eastAsia="zh-CN"/>
        </w:rPr>
        <w:t xml:space="preserve">n-going multi-TRP discussion in MIMO session can be applied to intra-frequency </w:t>
      </w:r>
      <w:r>
        <w:rPr>
          <w:rFonts w:hint="eastAsia" w:eastAsiaTheme="minorEastAsia"/>
          <w:iCs/>
          <w:kern w:val="2"/>
          <w:lang w:val="en-US" w:eastAsia="zh-CN"/>
        </w:rPr>
        <w:t>handover with dual connectivity</w:t>
      </w:r>
      <w:r>
        <w:rPr>
          <w:rFonts w:eastAsiaTheme="minorEastAsia"/>
          <w:iCs/>
          <w:kern w:val="2"/>
          <w:lang w:val="en-US" w:eastAsia="zh-CN"/>
        </w:rPr>
        <w:t xml:space="preserve"> in mobility enhancements.</w:t>
      </w:r>
      <w:r>
        <w:rPr>
          <w:rFonts w:hint="eastAsia" w:eastAsiaTheme="minorEastAsia"/>
          <w:iCs/>
          <w:kern w:val="2"/>
          <w:lang w:val="en-US" w:eastAsia="zh-CN"/>
        </w:rPr>
        <w:t xml:space="preserve"> </w:t>
      </w:r>
      <w:r>
        <w:rPr>
          <w:rFonts w:hint="eastAsia"/>
          <w:kern w:val="2"/>
          <w:lang w:val="en-US" w:eastAsia="zh-CN"/>
        </w:rPr>
        <w:t>In MIMO session, downlink multi-TRP transmission is discussed to improve downlink performance and robustness, which mainly focus</w:t>
      </w:r>
      <w:r>
        <w:rPr>
          <w:kern w:val="2"/>
          <w:lang w:val="en-US" w:eastAsia="zh-CN"/>
        </w:rPr>
        <w:t>es</w:t>
      </w:r>
      <w:r>
        <w:rPr>
          <w:rFonts w:hint="eastAsia"/>
          <w:kern w:val="2"/>
          <w:lang w:val="en-US" w:eastAsia="zh-CN"/>
        </w:rPr>
        <w:t xml:space="preserve"> </w:t>
      </w:r>
      <w:r>
        <w:rPr>
          <w:kern w:val="2"/>
          <w:lang w:val="en-US" w:eastAsia="zh-CN"/>
        </w:rPr>
        <w:t xml:space="preserve">more </w:t>
      </w:r>
      <w:r>
        <w:rPr>
          <w:rFonts w:hint="eastAsia"/>
          <w:kern w:val="2"/>
          <w:lang w:val="en-US" w:eastAsia="zh-CN"/>
        </w:rPr>
        <w:t>on intra-cell</w:t>
      </w:r>
      <w:r>
        <w:rPr>
          <w:kern w:val="2"/>
          <w:lang w:val="en-US" w:eastAsia="zh-CN"/>
        </w:rPr>
        <w:t>/inter-cell using different CORESET groups in the same BWP</w:t>
      </w:r>
      <w:r>
        <w:rPr>
          <w:rFonts w:hint="eastAsia"/>
          <w:kern w:val="2"/>
          <w:lang w:val="en-US" w:eastAsia="zh-CN"/>
        </w:rPr>
        <w:t xml:space="preserve">. In RAN1#95, it was agreed that a UE may assume it receives DL transmission from multiple TRPs within CP with single or multiple FFT windows as shown below. In other words, the receiving timing difference between two TRPs at UE should be within CP. All the designs for multi-TRP are based on this assumption. Therefore, the designs of multi-TRP can be reused for DAPS based handover only when the network can make sure that the </w:t>
      </w:r>
      <w:r>
        <w:rPr>
          <w:rFonts w:hint="eastAsia" w:eastAsia="宋体"/>
          <w:kern w:val="2"/>
          <w:lang w:val="en-US" w:eastAsia="zh-CN"/>
        </w:rPr>
        <w:t>receiv</w:t>
      </w:r>
      <w:r>
        <w:rPr>
          <w:rFonts w:eastAsia="宋体"/>
          <w:kern w:val="2"/>
          <w:lang w:val="en-US" w:eastAsia="zh-CN"/>
        </w:rPr>
        <w:t>e</w:t>
      </w:r>
      <w:r>
        <w:rPr>
          <w:rFonts w:hint="eastAsia" w:eastAsia="宋体"/>
          <w:kern w:val="2"/>
          <w:lang w:val="en-US" w:eastAsia="zh-CN"/>
        </w:rPr>
        <w:t xml:space="preserve"> timing difference between source cell and target cell observed by the UE is less than CP.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highlight w:val="green"/>
              </w:rPr>
            </w:pPr>
            <w:r>
              <w:rPr>
                <w:b/>
                <w:highlight w:val="green"/>
              </w:rPr>
              <w:t xml:space="preserve">Agreement </w:t>
            </w:r>
          </w:p>
          <w:p>
            <w:pPr>
              <w:snapToGrid w:val="0"/>
              <w:spacing w:after="120"/>
              <w:rPr>
                <w:rFonts w:eastAsia="宋体"/>
                <w:lang w:val="en-US" w:eastAsia="zh-CN"/>
              </w:rPr>
            </w:pPr>
            <w:r>
              <w:t xml:space="preserve">For multiple-PDCCH based multi-TRP/panel DL transmission, at least following enhancements can be studied for eMBB: </w:t>
            </w:r>
          </w:p>
          <w:p>
            <w:pPr>
              <w:pStyle w:val="110"/>
              <w:numPr>
                <w:ilvl w:val="0"/>
                <w:numId w:val="3"/>
              </w:numPr>
              <w:spacing w:after="160" w:line="259" w:lineRule="auto"/>
              <w:ind w:firstLine="400"/>
              <w:contextualSpacing/>
              <w:rPr>
                <w:rFonts w:eastAsia="宋体"/>
                <w:bCs/>
              </w:rPr>
            </w:pPr>
            <w:r>
              <w:rPr>
                <w:rFonts w:hint="eastAsia" w:eastAsia="宋体"/>
                <w:lang w:val="en-US" w:eastAsia="zh-CN"/>
              </w:rPr>
              <w:t>(some unrelated agreements are omitted)</w:t>
            </w:r>
          </w:p>
          <w:p>
            <w:pPr>
              <w:pStyle w:val="110"/>
              <w:numPr>
                <w:ilvl w:val="0"/>
                <w:numId w:val="3"/>
              </w:numPr>
              <w:spacing w:after="160" w:line="259" w:lineRule="auto"/>
              <w:ind w:firstLine="400"/>
              <w:contextualSpacing/>
              <w:rPr>
                <w:rFonts w:eastAsia="宋体"/>
                <w:bCs/>
              </w:rPr>
            </w:pPr>
            <w:r>
              <w:rPr>
                <w:rFonts w:eastAsia="宋体"/>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r>
              <w:rPr>
                <w:rFonts w:hint="eastAsia"/>
                <w:bCs/>
                <w:lang w:val="en-US" w:eastAsia="zh-CN"/>
              </w:rPr>
              <w:t xml:space="preserve"> </w:t>
            </w:r>
          </w:p>
          <w:p>
            <w:pPr>
              <w:pStyle w:val="110"/>
              <w:numPr>
                <w:ilvl w:val="0"/>
                <w:numId w:val="3"/>
              </w:numPr>
              <w:spacing w:after="160" w:line="259" w:lineRule="auto"/>
              <w:ind w:firstLine="400"/>
              <w:contextualSpacing/>
              <w:rPr>
                <w:kern w:val="2"/>
                <w:lang w:val="en-US" w:eastAsia="zh-CN"/>
              </w:rPr>
            </w:pPr>
            <w:r>
              <w:rPr>
                <w:rFonts w:eastAsia="宋体"/>
                <w:bCs/>
              </w:rPr>
              <w:t xml:space="preserve">Note that CSI measurement enhancement for NCJT considering backhaul condition and semi-static network coordination are not excluded. Companies are encouraged to evaluate CSI measurement schemes in Ad-Hoc and RAN1#96. </w:t>
            </w:r>
          </w:p>
        </w:tc>
      </w:tr>
    </w:tbl>
    <w:p>
      <w:pPr>
        <w:snapToGrid w:val="0"/>
        <w:spacing w:before="180" w:beforeLines="50"/>
        <w:rPr>
          <w:i/>
          <w:iCs/>
          <w:kern w:val="2"/>
          <w:lang w:val="en-US" w:eastAsia="zh-CN"/>
        </w:rPr>
      </w:pPr>
      <w:r>
        <w:rPr>
          <w:b/>
          <w:bCs/>
          <w:i/>
          <w:iCs/>
          <w:kern w:val="2"/>
          <w:lang w:val="en-US" w:eastAsia="zh-CN"/>
        </w:rPr>
        <w:t>Observation</w:t>
      </w:r>
      <w:r>
        <w:rPr>
          <w:rFonts w:hint="eastAsia"/>
          <w:b/>
          <w:bCs/>
          <w:i/>
          <w:iCs/>
          <w:kern w:val="2"/>
          <w:lang w:val="en-US" w:eastAsia="zh-CN"/>
        </w:rPr>
        <w:t xml:space="preserve"> 1:</w:t>
      </w:r>
      <w:r>
        <w:rPr>
          <w:rFonts w:hint="eastAsia"/>
          <w:i/>
          <w:iCs/>
          <w:kern w:val="2"/>
          <w:lang w:val="en-US" w:eastAsia="zh-CN"/>
        </w:rPr>
        <w:t xml:space="preserve"> The design of multi-TRP can be reused for DAPS based handover only when the network can make sure that the </w:t>
      </w:r>
      <w:r>
        <w:rPr>
          <w:rFonts w:hint="eastAsia" w:eastAsia="宋体"/>
          <w:i/>
          <w:iCs/>
          <w:kern w:val="2"/>
          <w:lang w:val="en-US" w:eastAsia="zh-CN"/>
        </w:rPr>
        <w:t>receiv</w:t>
      </w:r>
      <w:r>
        <w:rPr>
          <w:rFonts w:eastAsia="宋体"/>
          <w:i/>
          <w:iCs/>
          <w:kern w:val="2"/>
          <w:lang w:val="en-US" w:eastAsia="zh-CN"/>
        </w:rPr>
        <w:t>e</w:t>
      </w:r>
      <w:r>
        <w:rPr>
          <w:rFonts w:hint="eastAsia" w:eastAsia="宋体"/>
          <w:i/>
          <w:iCs/>
          <w:kern w:val="2"/>
          <w:lang w:val="en-US" w:eastAsia="zh-CN"/>
        </w:rPr>
        <w:t xml:space="preserve"> timing difference between source cell and target cell observed by UE is less than CP.</w:t>
      </w:r>
    </w:p>
    <w:p>
      <w:pPr>
        <w:snapToGrid w:val="0"/>
        <w:rPr>
          <w:rFonts w:eastAsiaTheme="minorEastAsia"/>
          <w:iCs/>
          <w:kern w:val="2"/>
          <w:lang w:val="en-US" w:eastAsia="zh-CN"/>
        </w:rPr>
      </w:pPr>
      <w:r>
        <w:rPr>
          <w:kern w:val="2"/>
          <w:lang w:val="en-US" w:eastAsia="zh-CN"/>
        </w:rPr>
        <w:t>According to the agreements 1 and 2 reached in MIMO session below, the number of CORESETs in one “</w:t>
      </w:r>
      <w:r>
        <w:rPr>
          <w:i/>
          <w:kern w:val="2"/>
          <w:lang w:val="en-US" w:eastAsia="zh-CN"/>
        </w:rPr>
        <w:t>PDCCH-config</w:t>
      </w:r>
      <w:r>
        <w:rPr>
          <w:kern w:val="2"/>
          <w:lang w:val="en-US" w:eastAsia="zh-CN"/>
        </w:rPr>
        <w:t>” is increased to support multi-TRP. Therefore, it implies that different CORESET groups are configured under one “</w:t>
      </w:r>
      <w:r>
        <w:rPr>
          <w:i/>
          <w:kern w:val="2"/>
          <w:lang w:val="en-US" w:eastAsia="zh-CN"/>
        </w:rPr>
        <w:t>PDCCH-config</w:t>
      </w:r>
      <w:r>
        <w:rPr>
          <w:kern w:val="2"/>
          <w:lang w:val="en-US" w:eastAsia="zh-CN"/>
        </w:rPr>
        <w:t xml:space="preserve">” for different TRPs. This would not be consistent with </w:t>
      </w:r>
      <w:r>
        <w:rPr>
          <w:rFonts w:hint="eastAsia"/>
          <w:kern w:val="2"/>
          <w:lang w:val="en-US" w:eastAsia="zh-CN"/>
        </w:rPr>
        <w:t>DAPS</w:t>
      </w:r>
      <w:r>
        <w:rPr>
          <w:kern w:val="2"/>
          <w:lang w:val="en-US" w:eastAsia="zh-CN"/>
        </w:rPr>
        <w:t xml:space="preserve">-based </w:t>
      </w:r>
      <w:r>
        <w:rPr>
          <w:rFonts w:hint="eastAsia"/>
          <w:kern w:val="2"/>
          <w:lang w:val="en-US" w:eastAsia="zh-CN"/>
        </w:rPr>
        <w:t>handover</w:t>
      </w:r>
      <w:r>
        <w:rPr>
          <w:kern w:val="2"/>
          <w:lang w:val="en-US" w:eastAsia="zh-CN"/>
        </w:rPr>
        <w:t xml:space="preserve">. Consequently, it requires extra amount of work to support </w:t>
      </w:r>
      <w:r>
        <w:rPr>
          <w:rFonts w:hint="eastAsia"/>
          <w:kern w:val="2"/>
          <w:lang w:val="en-US" w:eastAsia="zh-CN"/>
        </w:rPr>
        <w:t>DAPS</w:t>
      </w:r>
      <w:r>
        <w:rPr>
          <w:kern w:val="2"/>
          <w:lang w:val="en-US" w:eastAsia="zh-CN"/>
        </w:rPr>
        <w:t xml:space="preserve">-based </w:t>
      </w:r>
      <w:r>
        <w:rPr>
          <w:rFonts w:hint="eastAsia"/>
          <w:kern w:val="2"/>
          <w:lang w:val="en-US" w:eastAsia="zh-CN"/>
        </w:rPr>
        <w:t xml:space="preserve">handover </w:t>
      </w:r>
      <w:r>
        <w:rPr>
          <w:kern w:val="2"/>
          <w:lang w:val="en-US" w:eastAsia="zh-CN"/>
        </w:rPr>
        <w:t xml:space="preserve">which is different from the signaling framework discussed in MIMO session.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10"/>
              <w:numPr>
                <w:ilvl w:val="0"/>
                <w:numId w:val="4"/>
              </w:numPr>
              <w:ind w:firstLineChars="0"/>
              <w:contextualSpacing/>
            </w:pPr>
            <w:r>
              <w:rPr>
                <w:rFonts w:eastAsia="宋体"/>
                <w:szCs w:val="22"/>
                <w:lang w:val="en-US"/>
              </w:rPr>
              <w:t xml:space="preserve"> To support multiple-PDCCH based multi-TRP/panel transmission with intra-cell (same cell ID) and inter-cell (different Cell IDs), following RRC configuration can be used to link multiple PDCCH/PDSCH pairs with multiple TRPs</w:t>
            </w:r>
          </w:p>
          <w:p>
            <w:pPr>
              <w:numPr>
                <w:ilvl w:val="0"/>
                <w:numId w:val="5"/>
              </w:numPr>
              <w:overflowPunct/>
              <w:autoSpaceDE/>
              <w:autoSpaceDN/>
              <w:adjustRightInd/>
              <w:spacing w:after="0"/>
              <w:contextualSpacing/>
              <w:textAlignment w:val="auto"/>
              <w:rPr>
                <w:rFonts w:eastAsia="宋体"/>
                <w:szCs w:val="22"/>
                <w:lang w:val="en-US"/>
              </w:rPr>
            </w:pPr>
            <w:r>
              <w:rPr>
                <w:rFonts w:eastAsia="宋体"/>
                <w:szCs w:val="22"/>
                <w:lang w:val="en-US"/>
              </w:rPr>
              <w:t xml:space="preserve">one CORESET in a “PDCCH-config” corresponds to one TRP </w:t>
            </w:r>
          </w:p>
          <w:p>
            <w:pPr>
              <w:numPr>
                <w:ilvl w:val="1"/>
                <w:numId w:val="5"/>
              </w:numPr>
              <w:overflowPunct/>
              <w:autoSpaceDE/>
              <w:autoSpaceDN/>
              <w:adjustRightInd/>
              <w:spacing w:after="0"/>
              <w:contextualSpacing/>
              <w:textAlignment w:val="auto"/>
              <w:rPr>
                <w:rFonts w:eastAsia="宋体"/>
                <w:szCs w:val="22"/>
                <w:lang w:val="en-US"/>
              </w:rPr>
            </w:pPr>
            <w:r>
              <w:rPr>
                <w:rFonts w:eastAsia="宋体"/>
                <w:szCs w:val="22"/>
                <w:lang w:val="en-US"/>
              </w:rPr>
              <w:t>FFS whether to increase the number of CORESETs per “PDCCH-config” more than 3</w:t>
            </w:r>
          </w:p>
          <w:p>
            <w:pPr>
              <w:rPr>
                <w:sz w:val="18"/>
                <w:lang w:eastAsia="zh-CN"/>
              </w:rPr>
            </w:pPr>
            <w:r>
              <w:rPr>
                <w:rFonts w:eastAsia="Malgun Gothic"/>
                <w:szCs w:val="22"/>
                <w:lang w:val="en-US" w:eastAsia="ko-KR"/>
              </w:rPr>
              <w:t>FFS: UE monitoring/decoding behavior for multiple PDCCHs.</w:t>
            </w:r>
          </w:p>
          <w:p>
            <w:pPr>
              <w:pStyle w:val="110"/>
              <w:numPr>
                <w:ilvl w:val="0"/>
                <w:numId w:val="4"/>
              </w:numPr>
              <w:tabs>
                <w:tab w:val="left" w:pos="0"/>
                <w:tab w:val="left" w:pos="2160"/>
              </w:tabs>
              <w:ind w:firstLineChars="0"/>
              <w:contextualSpacing/>
            </w:pPr>
            <w:r>
              <w:t xml:space="preserve">For PDCCH monitoring and blind decoding for multi-DCI based multi-TRP/panel transmission,  </w:t>
            </w:r>
          </w:p>
          <w:p>
            <w:pPr>
              <w:pStyle w:val="110"/>
              <w:numPr>
                <w:ilvl w:val="0"/>
                <w:numId w:val="6"/>
              </w:numPr>
              <w:spacing w:after="0"/>
              <w:ind w:firstLineChars="0"/>
              <w:contextualSpacing/>
              <w:rPr>
                <w:rFonts w:eastAsia="宋体"/>
              </w:rPr>
            </w:pPr>
            <w:r>
              <w:rPr>
                <w:rFonts w:eastAsia="宋体"/>
              </w:rPr>
              <w:t>Increase the maximal number of CORESETs per “PDCCH-config” up to N=[4, 5, or 6] subject to UE capability</w:t>
            </w:r>
          </w:p>
          <w:p>
            <w:pPr>
              <w:pStyle w:val="110"/>
              <w:numPr>
                <w:ilvl w:val="0"/>
                <w:numId w:val="6"/>
              </w:numPr>
              <w:spacing w:after="0"/>
              <w:ind w:firstLineChars="0"/>
              <w:contextualSpacing/>
              <w:rPr>
                <w:rFonts w:eastAsia="宋体"/>
              </w:rPr>
            </w:pPr>
            <w:r>
              <w:rPr>
                <w:rFonts w:eastAsia="宋体"/>
              </w:rPr>
              <w:t>Increase the maximal number of BD/CCE per slot per serving cell, subject to UE capability</w:t>
            </w:r>
          </w:p>
          <w:p>
            <w:pPr>
              <w:spacing w:after="0"/>
              <w:contextualSpacing/>
              <w:rPr>
                <w:rFonts w:eastAsiaTheme="minorEastAsia"/>
                <w:i/>
                <w:iCs/>
                <w:kern w:val="2"/>
                <w:lang w:eastAsia="zh-CN"/>
              </w:rPr>
            </w:pPr>
          </w:p>
        </w:tc>
      </w:tr>
    </w:tbl>
    <w:p>
      <w:pPr>
        <w:snapToGrid w:val="0"/>
        <w:spacing w:before="180" w:beforeLines="50"/>
        <w:rPr>
          <w:i/>
          <w:iCs/>
          <w:kern w:val="2"/>
          <w:lang w:val="en-US" w:eastAsia="zh-CN"/>
        </w:rPr>
      </w:pPr>
      <w:r>
        <w:rPr>
          <w:rFonts w:hint="eastAsia" w:eastAsiaTheme="minorEastAsia"/>
          <w:kern w:val="2"/>
          <w:lang w:val="en-US" w:eastAsia="zh-CN"/>
        </w:rPr>
        <w:t xml:space="preserve">In addition, </w:t>
      </w:r>
      <w:r>
        <w:rPr>
          <w:rFonts w:eastAsiaTheme="minorEastAsia"/>
          <w:kern w:val="2"/>
          <w:lang w:val="en-US" w:eastAsia="zh-CN"/>
        </w:rPr>
        <w:t xml:space="preserve">some constraints are defined in MIMO (e.g. in the Agreement 5 below) </w:t>
      </w:r>
      <w:r>
        <w:rPr>
          <w:rFonts w:hint="eastAsia" w:eastAsiaTheme="minorEastAsia"/>
          <w:kern w:val="2"/>
          <w:lang w:val="en-US" w:eastAsia="zh-CN"/>
        </w:rPr>
        <w:t xml:space="preserve">to </w:t>
      </w:r>
      <w:r>
        <w:rPr>
          <w:rFonts w:hint="eastAsia"/>
          <w:kern w:val="2"/>
          <w:lang w:val="en-US" w:eastAsia="zh-CN"/>
        </w:rPr>
        <w:t xml:space="preserve">allow UE to receive </w:t>
      </w:r>
      <w:r>
        <w:rPr>
          <w:kern w:val="2"/>
          <w:lang w:val="en-US" w:eastAsia="zh-CN"/>
        </w:rPr>
        <w:t>fully/partially/non-</w:t>
      </w:r>
      <w:r>
        <w:rPr>
          <w:rFonts w:hint="eastAsia"/>
          <w:kern w:val="2"/>
          <w:lang w:val="en-US" w:eastAsia="zh-CN"/>
        </w:rPr>
        <w:t xml:space="preserve">overlapped PDSCH from different TRPs. For example, the overlapped PDSCH should have the same DMRS configuration with respect to actual number of front loaded DMRS symbol, the actual number of additional DMRS, the actual DMRS symbol location and DMRS configuration type. A CDM group of PDSCH DMRS should be configured with only one TCI state. For HARQ-ACK feedback for PDSCH, separate PUCCH should be transmitted in TDM manner where each PUCCH only carries the feedback for one TRP. </w:t>
      </w:r>
      <w:bookmarkStart w:id="2" w:name="OLE_LINK5"/>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4"/>
              </w:numPr>
              <w:snapToGrid w:val="0"/>
              <w:spacing w:after="0"/>
              <w:contextualSpacing/>
              <w:rPr>
                <w:i/>
                <w:iCs/>
                <w:szCs w:val="18"/>
              </w:rPr>
            </w:pPr>
            <w:r>
              <w:rPr>
                <w:i/>
                <w:iCs/>
                <w:szCs w:val="18"/>
              </w:rPr>
              <w:t xml:space="preserve">For multiple-PDCCH based multi-TRP/panel downlink transmission for eMBB, </w:t>
            </w:r>
          </w:p>
          <w:p>
            <w:pPr>
              <w:pStyle w:val="110"/>
              <w:numPr>
                <w:ilvl w:val="0"/>
                <w:numId w:val="7"/>
              </w:numPr>
              <w:snapToGrid w:val="0"/>
              <w:spacing w:after="0"/>
              <w:ind w:firstLine="400"/>
              <w:contextualSpacing/>
              <w:rPr>
                <w:i/>
                <w:iCs/>
                <w:szCs w:val="18"/>
              </w:rPr>
            </w:pPr>
            <w:r>
              <w:rPr>
                <w:i/>
                <w:iCs/>
                <w:szCs w:val="18"/>
              </w:rPr>
              <w:t>Separate ACK/NACK payload/feedback for received PDSCHs is supported</w:t>
            </w:r>
          </w:p>
          <w:p>
            <w:pPr>
              <w:numPr>
                <w:ilvl w:val="0"/>
                <w:numId w:val="4"/>
              </w:numPr>
              <w:snapToGrid w:val="0"/>
              <w:spacing w:after="0"/>
              <w:contextualSpacing/>
              <w:rPr>
                <w:rFonts w:eastAsia="宋体"/>
                <w:i/>
                <w:iCs/>
                <w:szCs w:val="22"/>
              </w:rPr>
            </w:pPr>
            <w:r>
              <w:rPr>
                <w:rFonts w:eastAsia="宋体"/>
                <w:i/>
                <w:iCs/>
                <w:szCs w:val="22"/>
              </w:rPr>
              <w:t>For multi-DCI based multi-TRP/panel transmission, the total number of CWs in scheduled PDSCHs, each of which is scheduled by one PDCCH, is up to 2.</w:t>
            </w:r>
          </w:p>
          <w:p>
            <w:pPr>
              <w:numPr>
                <w:ilvl w:val="0"/>
                <w:numId w:val="4"/>
              </w:numPr>
              <w:snapToGrid w:val="0"/>
              <w:spacing w:after="0"/>
              <w:rPr>
                <w:i/>
                <w:iCs/>
                <w:szCs w:val="18"/>
              </w:rPr>
            </w:pPr>
            <w:r>
              <w:rPr>
                <w:i/>
                <w:iCs/>
                <w:szCs w:val="18"/>
              </w:rPr>
              <w:t xml:space="preserve">For a UE supporting multiple-PDCCH based multi-TRP/panel transmission and each PDCCH schedules one PDSCH, at least for eMBB with non-ideal backhaul, support following restrictions: </w:t>
            </w:r>
          </w:p>
          <w:p>
            <w:pPr>
              <w:numPr>
                <w:ilvl w:val="0"/>
                <w:numId w:val="8"/>
              </w:numPr>
              <w:snapToGrid w:val="0"/>
              <w:spacing w:after="0"/>
              <w:contextualSpacing/>
              <w:rPr>
                <w:rFonts w:eastAsia="宋体"/>
                <w:i/>
                <w:iCs/>
                <w:szCs w:val="18"/>
              </w:rPr>
            </w:pPr>
            <w:r>
              <w:rPr>
                <w:rFonts w:eastAsia="宋体"/>
                <w:i/>
                <w:iCs/>
                <w:szCs w:val="18"/>
              </w:rPr>
              <w:t>The UE may be scheduled with fully/partially/non-overlapped PDSCHs at time and frequency domain by multiple PDCCHs with following restrictions:</w:t>
            </w:r>
          </w:p>
          <w:p>
            <w:pPr>
              <w:numPr>
                <w:ilvl w:val="1"/>
                <w:numId w:val="8"/>
              </w:numPr>
              <w:snapToGrid w:val="0"/>
              <w:spacing w:after="0"/>
              <w:contextualSpacing/>
              <w:rPr>
                <w:rFonts w:eastAsia="宋体"/>
                <w:i/>
                <w:iCs/>
                <w:szCs w:val="18"/>
              </w:rPr>
            </w:pPr>
            <w:r>
              <w:rPr>
                <w:rFonts w:eastAsia="宋体"/>
                <w:i/>
                <w:iCs/>
                <w:szCs w:val="18"/>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pPr>
              <w:numPr>
                <w:ilvl w:val="1"/>
                <w:numId w:val="8"/>
              </w:numPr>
              <w:snapToGrid w:val="0"/>
              <w:spacing w:after="0"/>
              <w:contextualSpacing/>
              <w:rPr>
                <w:rFonts w:eastAsia="宋体"/>
                <w:i/>
                <w:iCs/>
                <w:szCs w:val="18"/>
              </w:rPr>
            </w:pPr>
            <w:r>
              <w:rPr>
                <w:rFonts w:eastAsia="宋体"/>
                <w:i/>
                <w:iCs/>
                <w:szCs w:val="18"/>
              </w:rPr>
              <w:t xml:space="preserve">The UE is not expected to have more than one TCI index with DMRS ports within the same CDM group for fully/partially overlapped PDSCHs </w:t>
            </w:r>
          </w:p>
          <w:p>
            <w:pPr>
              <w:numPr>
                <w:ilvl w:val="1"/>
                <w:numId w:val="8"/>
              </w:numPr>
              <w:snapToGrid w:val="0"/>
              <w:spacing w:after="0"/>
              <w:contextualSpacing/>
              <w:rPr>
                <w:rFonts w:eastAsia="宋体"/>
                <w:i/>
                <w:iCs/>
                <w:szCs w:val="18"/>
              </w:rPr>
            </w:pPr>
            <w:r>
              <w:rPr>
                <w:rFonts w:eastAsia="宋体"/>
                <w:i/>
                <w:iCs/>
                <w:szCs w:val="18"/>
              </w:rPr>
              <w:t xml:space="preserve">Full scheduling information for receiving a PDSCH is indicated and carried only by the corresponding PDCCH.  </w:t>
            </w:r>
          </w:p>
          <w:p>
            <w:pPr>
              <w:numPr>
                <w:ilvl w:val="1"/>
                <w:numId w:val="8"/>
              </w:numPr>
              <w:snapToGrid w:val="0"/>
              <w:spacing w:after="0"/>
              <w:contextualSpacing/>
              <w:rPr>
                <w:rFonts w:eastAsia="宋体"/>
                <w:i/>
                <w:iCs/>
                <w:szCs w:val="18"/>
              </w:rPr>
            </w:pPr>
            <w:r>
              <w:rPr>
                <w:rFonts w:eastAsia="宋体"/>
                <w:i/>
                <w:iCs/>
                <w:szCs w:val="18"/>
              </w:rPr>
              <w:t>The UE is expected to be scheduled with the same active BWP bandwidth and the same SCS if the UE is expected to receive multiple PDSCHs simultaneously at given symbols.</w:t>
            </w:r>
          </w:p>
          <w:p>
            <w:pPr>
              <w:numPr>
                <w:ilvl w:val="1"/>
                <w:numId w:val="8"/>
              </w:numPr>
              <w:snapToGrid w:val="0"/>
              <w:spacing w:after="0"/>
              <w:contextualSpacing/>
              <w:rPr>
                <w:rFonts w:eastAsia="宋体"/>
                <w:i/>
                <w:iCs/>
                <w:szCs w:val="18"/>
              </w:rPr>
            </w:pPr>
            <w:r>
              <w:rPr>
                <w:rFonts w:eastAsia="宋体"/>
                <w:i/>
                <w:iCs/>
                <w:szCs w:val="18"/>
              </w:rPr>
              <w:t xml:space="preserve">The number of active BWPs for a UE is 1 per CC </w:t>
            </w:r>
          </w:p>
          <w:p>
            <w:pPr>
              <w:numPr>
                <w:ilvl w:val="0"/>
                <w:numId w:val="4"/>
              </w:numPr>
              <w:tabs>
                <w:tab w:val="left" w:pos="720"/>
                <w:tab w:val="left" w:pos="2160"/>
              </w:tabs>
              <w:snapToGrid w:val="0"/>
              <w:spacing w:after="0"/>
              <w:rPr>
                <w:rFonts w:eastAsia="宋体"/>
                <w:i/>
                <w:iCs/>
                <w:szCs w:val="21"/>
                <w:lang w:eastAsia="zh-CN"/>
              </w:rPr>
            </w:pPr>
            <w:r>
              <w:rPr>
                <w:rFonts w:eastAsia="宋体"/>
                <w:i/>
                <w:iCs/>
                <w:szCs w:val="21"/>
                <w:lang w:eastAsia="zh-CN"/>
              </w:rPr>
              <w:t xml:space="preserve">For separate ACK/NACK payload/feedback for received PDSCHs where multiple DCIs are used, </w:t>
            </w:r>
          </w:p>
          <w:p>
            <w:pPr>
              <w:numPr>
                <w:ilvl w:val="0"/>
                <w:numId w:val="9"/>
              </w:numPr>
              <w:tabs>
                <w:tab w:val="left" w:pos="720"/>
                <w:tab w:val="left" w:pos="2160"/>
              </w:tabs>
              <w:snapToGrid w:val="0"/>
              <w:spacing w:after="0"/>
              <w:contextualSpacing/>
              <w:rPr>
                <w:rFonts w:eastAsia="宋体"/>
                <w:i/>
                <w:iCs/>
                <w:szCs w:val="21"/>
                <w:lang w:eastAsia="zh-CN"/>
              </w:rPr>
            </w:pPr>
            <w:r>
              <w:rPr>
                <w:rFonts w:eastAsia="宋体"/>
                <w:i/>
                <w:iCs/>
                <w:szCs w:val="21"/>
                <w:lang w:eastAsia="zh-CN"/>
              </w:rPr>
              <w:t xml:space="preserve">PUCCH resources conveying ACK/NACK feedback can be TDM with separated </w:t>
            </w:r>
            <w:r>
              <w:rPr>
                <w:rFonts w:eastAsia="Malgun Gothic"/>
                <w:i/>
                <w:iCs/>
                <w:szCs w:val="21"/>
                <w:lang w:val="en-US" w:eastAsia="ko-KR"/>
              </w:rPr>
              <w:t xml:space="preserve">HARQ-ACK codebook. </w:t>
            </w:r>
          </w:p>
          <w:p>
            <w:pPr>
              <w:pStyle w:val="111"/>
              <w:numPr>
                <w:ilvl w:val="0"/>
                <w:numId w:val="4"/>
              </w:numPr>
              <w:snapToGrid w:val="0"/>
              <w:spacing w:after="0"/>
              <w:ind w:firstLine="0" w:firstLineChars="0"/>
              <w:rPr>
                <w:i/>
                <w:iCs/>
                <w:szCs w:val="18"/>
              </w:rPr>
            </w:pPr>
            <w:r>
              <w:rPr>
                <w:rFonts w:eastAsia="宋体"/>
                <w:i/>
                <w:iCs/>
                <w:szCs w:val="18"/>
              </w:rPr>
              <w:t xml:space="preserve">At least for eMBB with </w:t>
            </w:r>
            <w:r>
              <w:rPr>
                <w:i/>
                <w:iCs/>
                <w:szCs w:val="18"/>
              </w:rPr>
              <w:t>multi-DCI based multi-TRP/panel transmission</w:t>
            </w:r>
            <w:r>
              <w:rPr>
                <w:rFonts w:eastAsia="宋体"/>
                <w:i/>
                <w:iCs/>
                <w:szCs w:val="18"/>
              </w:rPr>
              <w:t>, different PDSCH scrambling sequences can be supported for PDSCHs</w:t>
            </w:r>
          </w:p>
          <w:p>
            <w:pPr>
              <w:pStyle w:val="110"/>
              <w:numPr>
                <w:ilvl w:val="0"/>
                <w:numId w:val="4"/>
              </w:numPr>
              <w:tabs>
                <w:tab w:val="left" w:pos="0"/>
                <w:tab w:val="left" w:pos="2160"/>
              </w:tabs>
              <w:snapToGrid w:val="0"/>
              <w:spacing w:after="0"/>
              <w:ind w:firstLine="0" w:firstLineChars="0"/>
              <w:contextualSpacing/>
              <w:rPr>
                <w:i/>
                <w:iCs/>
                <w:szCs w:val="22"/>
              </w:rPr>
            </w:pPr>
            <w:r>
              <w:rPr>
                <w:i/>
                <w:iCs/>
                <w:szCs w:val="22"/>
              </w:rPr>
              <w:t xml:space="preserve">For separate ACK/NACK payload/feedback for received PDSCHs where multiple DCIs are used </w:t>
            </w:r>
          </w:p>
          <w:p>
            <w:pPr>
              <w:snapToGrid w:val="0"/>
              <w:spacing w:after="0"/>
              <w:contextualSpacing/>
              <w:rPr>
                <w:rFonts w:eastAsiaTheme="minorEastAsia"/>
                <w:i/>
                <w:iCs/>
                <w:kern w:val="2"/>
                <w:lang w:eastAsia="zh-CN"/>
              </w:rPr>
            </w:pPr>
            <w:r>
              <w:rPr>
                <w:rFonts w:eastAsia="宋体"/>
                <w:i/>
                <w:iCs/>
                <w:szCs w:val="22"/>
              </w:rPr>
              <w:t>Support TDMed PUCCH transmission within a slot to convey, at least separate ACK/NACK only feedback, with separated HARQ-ACK codebook for two TRPs</w:t>
            </w:r>
          </w:p>
        </w:tc>
      </w:tr>
      <w:bookmarkEnd w:id="2"/>
    </w:tbl>
    <w:p>
      <w:pPr>
        <w:snapToGrid w:val="0"/>
        <w:spacing w:before="180" w:beforeLines="50"/>
        <w:rPr>
          <w:rFonts w:eastAsiaTheme="minorEastAsia"/>
          <w:kern w:val="2"/>
          <w:lang w:val="en-US" w:eastAsia="zh-CN"/>
        </w:rPr>
      </w:pPr>
      <w:r>
        <w:rPr>
          <w:kern w:val="2"/>
          <w:lang w:val="en-US" w:eastAsia="zh-CN"/>
        </w:rPr>
        <w:t>Some of</w:t>
      </w:r>
      <w:r>
        <w:rPr>
          <w:rFonts w:hint="eastAsia"/>
          <w:kern w:val="2"/>
          <w:lang w:val="en-US" w:eastAsia="zh-CN"/>
        </w:rPr>
        <w:t xml:space="preserve"> these </w:t>
      </w:r>
      <w:bookmarkStart w:id="3" w:name="OLE_LINK4"/>
      <w:r>
        <w:rPr>
          <w:rFonts w:hint="eastAsia"/>
          <w:kern w:val="2"/>
          <w:lang w:val="en-US" w:eastAsia="zh-CN"/>
        </w:rPr>
        <w:t xml:space="preserve">designs </w:t>
      </w:r>
      <w:bookmarkEnd w:id="3"/>
      <w:r>
        <w:rPr>
          <w:rFonts w:hint="eastAsia"/>
          <w:kern w:val="2"/>
          <w:lang w:val="en-US" w:eastAsia="zh-CN"/>
        </w:rPr>
        <w:t xml:space="preserve">can be </w:t>
      </w:r>
      <w:r>
        <w:rPr>
          <w:kern w:val="2"/>
          <w:lang w:val="en-US" w:eastAsia="zh-CN"/>
        </w:rPr>
        <w:t xml:space="preserve">considered to </w:t>
      </w:r>
      <w:r>
        <w:rPr>
          <w:rFonts w:hint="eastAsia"/>
          <w:kern w:val="2"/>
          <w:lang w:val="en-US" w:eastAsia="zh-CN"/>
        </w:rPr>
        <w:t xml:space="preserve">be reused for a UE to communicate with source and target cell when dual connection is established during handover, but </w:t>
      </w:r>
      <w:r>
        <w:rPr>
          <w:kern w:val="2"/>
          <w:lang w:val="en-US" w:eastAsia="zh-CN"/>
        </w:rPr>
        <w:t xml:space="preserve">some of these may not be appropriate for intra-frequency </w:t>
      </w:r>
      <w:r>
        <w:rPr>
          <w:rFonts w:hint="eastAsia"/>
          <w:kern w:val="2"/>
          <w:lang w:val="en-US" w:eastAsia="zh-CN"/>
        </w:rPr>
        <w:t>handover</w:t>
      </w:r>
      <w:r>
        <w:rPr>
          <w:kern w:val="2"/>
          <w:lang w:val="en-US" w:eastAsia="zh-CN"/>
        </w:rPr>
        <w:t xml:space="preserve"> case. For example, whether the BWPs of the two cells have to be fully overlapped or can be partially/non-</w:t>
      </w:r>
      <w:r>
        <w:rPr>
          <w:rFonts w:hint="eastAsia"/>
          <w:kern w:val="2"/>
          <w:lang w:val="en-US" w:eastAsia="zh-CN"/>
        </w:rPr>
        <w:t>overlapped.</w:t>
      </w:r>
      <w:r>
        <w:rPr>
          <w:kern w:val="2"/>
          <w:lang w:val="en-US" w:eastAsia="zh-CN"/>
        </w:rPr>
        <w:t xml:space="preserve"> Whether the scheduled PDSCHs from the two cells has to be non-</w:t>
      </w:r>
      <w:r>
        <w:rPr>
          <w:rFonts w:hint="eastAsia"/>
          <w:kern w:val="2"/>
          <w:lang w:val="en-US" w:eastAsia="zh-CN"/>
        </w:rPr>
        <w:t>overlapped</w:t>
      </w:r>
      <w:r>
        <w:rPr>
          <w:kern w:val="2"/>
          <w:lang w:val="en-US" w:eastAsia="zh-CN"/>
        </w:rPr>
        <w:t xml:space="preserve"> or can be fully/partially overlapped.</w:t>
      </w:r>
      <w:r>
        <w:rPr>
          <w:rFonts w:hint="eastAsia"/>
          <w:kern w:val="2"/>
          <w:lang w:val="en-US" w:eastAsia="zh-CN"/>
        </w:rPr>
        <w:t xml:space="preserve"> </w:t>
      </w:r>
      <w:r>
        <w:rPr>
          <w:rFonts w:hint="eastAsia" w:eastAsia="宋体"/>
          <w:lang w:val="en-US" w:eastAsia="zh-CN"/>
        </w:rPr>
        <w:t>If multi-TRP scheme is used in intra-frequency handover</w:t>
      </w:r>
      <w:r>
        <w:rPr>
          <w:rFonts w:hint="eastAsia"/>
          <w:kern w:val="2"/>
          <w:lang w:val="en-US" w:eastAsia="zh-CN"/>
        </w:rPr>
        <w:t>, more coordination between source and target cell are needed compared with communication in FDM/TDM manner</w:t>
      </w:r>
      <w:r>
        <w:rPr>
          <w:kern w:val="2"/>
          <w:lang w:val="en-US" w:eastAsia="zh-CN"/>
        </w:rPr>
        <w:t xml:space="preserve">. However, it may be too restrictive to require such coordination in details like DMRS pattern just for intra-frequency </w:t>
      </w:r>
      <w:r>
        <w:rPr>
          <w:rFonts w:hint="eastAsia"/>
          <w:kern w:val="2"/>
          <w:lang w:val="en-US" w:eastAsia="zh-CN"/>
        </w:rPr>
        <w:t>handover</w:t>
      </w:r>
      <w:r>
        <w:rPr>
          <w:kern w:val="2"/>
          <w:lang w:val="en-US" w:eastAsia="zh-CN"/>
        </w:rPr>
        <w:t xml:space="preserve">. These DMRS restrictions are mainly for the overlapped cases. It may be simpler if we only allow non-overlapped case for mobility purpose. In addition, the BWPs may not need to be exactly aligned between two cells. Therefore, it needs further discussion to decide whether the restrictions defined in MIMO session should be fully reused for mobility.  </w:t>
      </w:r>
    </w:p>
    <w:p>
      <w:pPr>
        <w:snapToGrid w:val="0"/>
        <w:rPr>
          <w:i/>
          <w:iCs/>
          <w:kern w:val="2"/>
          <w:lang w:val="en-US" w:eastAsia="zh-CN"/>
        </w:rPr>
      </w:pPr>
      <w:r>
        <w:rPr>
          <w:b/>
          <w:bCs/>
          <w:i/>
          <w:iCs/>
          <w:kern w:val="2"/>
          <w:lang w:val="en-US" w:eastAsia="zh-CN"/>
        </w:rPr>
        <w:t>Observation 2</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Some of the restrictions defined for multi-TRP may not be appropriate to intra-frequency handover. Some require tight coordination between gNBs. Further work is required to identify which restrictions </w:t>
      </w:r>
      <w:r>
        <w:rPr>
          <w:rFonts w:hint="eastAsia"/>
          <w:i/>
          <w:iCs/>
          <w:kern w:val="2"/>
          <w:lang w:val="en-US" w:eastAsia="zh-CN"/>
        </w:rPr>
        <w:t>can be reused in NR mobility enhancement</w:t>
      </w:r>
      <w:r>
        <w:rPr>
          <w:i/>
          <w:iCs/>
          <w:kern w:val="2"/>
          <w:lang w:val="en-US" w:eastAsia="zh-CN"/>
        </w:rPr>
        <w:t xml:space="preserve"> and the corresponding specification impact.</w:t>
      </w:r>
    </w:p>
    <w:p>
      <w:pPr>
        <w:snapToGrid w:val="0"/>
        <w:rPr>
          <w:kern w:val="2"/>
          <w:lang w:val="en-US" w:eastAsia="zh-CN"/>
        </w:rPr>
      </w:pPr>
      <w:r>
        <w:rPr>
          <w:rFonts w:hint="eastAsia"/>
          <w:kern w:val="2"/>
          <w:lang w:val="en-US" w:eastAsia="zh-CN"/>
        </w:rPr>
        <w:t xml:space="preserve">Further, multi-TRP like operation can also be considered at the cost of introducing restrictions </w:t>
      </w:r>
      <w:r>
        <w:rPr>
          <w:kern w:val="2"/>
          <w:lang w:val="en-US" w:eastAsia="zh-CN"/>
        </w:rPr>
        <w:t xml:space="preserve">for simultaneous transmission/reception </w:t>
      </w:r>
      <w:r>
        <w:rPr>
          <w:rFonts w:hint="eastAsia"/>
          <w:kern w:val="2"/>
          <w:lang w:val="en-US" w:eastAsia="zh-CN"/>
        </w:rPr>
        <w:t>as discussed above.</w:t>
      </w:r>
      <w:r>
        <w:rPr>
          <w:kern w:val="2"/>
          <w:lang w:val="en-US" w:eastAsia="zh-CN"/>
        </w:rPr>
        <w:t xml:space="preserve"> The discussion in MIMO multi-TRP has been focused on downlink in FR1 only. Additional work may be needed to support multi-TRP downlink for FR2 as well as intra-frequency uplink but we may not have time to do so in Rel-16. </w:t>
      </w:r>
    </w:p>
    <w:p>
      <w:pPr>
        <w:pStyle w:val="3"/>
        <w:numPr>
          <w:ilvl w:val="1"/>
          <w:numId w:val="1"/>
        </w:numPr>
        <w:snapToGrid w:val="0"/>
        <w:rPr>
          <w:lang w:eastAsia="zh-CN"/>
        </w:rPr>
      </w:pPr>
      <w:r>
        <w:rPr>
          <w:lang w:eastAsia="zh-CN"/>
        </w:rPr>
        <w:t>Discussion on DL transmission</w:t>
      </w:r>
    </w:p>
    <w:p>
      <w:pPr>
        <w:snapToGrid w:val="0"/>
        <w:rPr>
          <w:rFonts w:eastAsiaTheme="minorEastAsia"/>
          <w:iCs/>
          <w:kern w:val="2"/>
          <w:lang w:val="en-US" w:eastAsia="zh-CN"/>
        </w:rPr>
      </w:pPr>
      <w:r>
        <w:rPr>
          <w:rFonts w:hint="eastAsia" w:eastAsiaTheme="minorEastAsia"/>
          <w:iCs/>
          <w:kern w:val="2"/>
          <w:lang w:val="en-US" w:eastAsia="zh-CN"/>
        </w:rPr>
        <w:t xml:space="preserve">It is agreed that UE can receive PDCCH and PDSCH from both source cell and target cell for the scenarios that DC-based handover and MBB-based handover in RAN1 #97 [5]. From the perspective view of RAN1, the source cell can be seen as PCell and the target cell can be seen as PSCell. </w:t>
      </w:r>
      <w:r>
        <w:rPr>
          <w:rFonts w:eastAsiaTheme="minorEastAsia"/>
          <w:iCs/>
          <w:kern w:val="2"/>
          <w:lang w:val="en-US" w:eastAsia="zh-CN"/>
        </w:rPr>
        <w:t>We can just reuse and follow the current configurations for CORESET, BWP and PDCCH supported for DC based on the restrictions in the current spec e.g. maximum number of BD, CCE</w:t>
      </w:r>
      <w:r>
        <w:rPr>
          <w:rFonts w:hint="eastAsia" w:eastAsiaTheme="minorEastAsia"/>
          <w:iCs/>
          <w:kern w:val="2"/>
          <w:lang w:val="en-US" w:eastAsia="zh-CN"/>
        </w:rPr>
        <w:t xml:space="preserve">. Therefore, there should be no </w:t>
      </w:r>
      <w:r>
        <w:rPr>
          <w:rFonts w:eastAsiaTheme="minorEastAsia"/>
          <w:iCs/>
          <w:kern w:val="2"/>
          <w:lang w:val="en-US" w:eastAsia="zh-CN"/>
        </w:rPr>
        <w:t xml:space="preserve">additional </w:t>
      </w:r>
      <w:r>
        <w:rPr>
          <w:rFonts w:hint="eastAsia" w:eastAsiaTheme="minorEastAsia"/>
          <w:iCs/>
          <w:kern w:val="2"/>
          <w:lang w:val="en-US" w:eastAsia="zh-CN"/>
        </w:rPr>
        <w:t xml:space="preserve">restrictions on the configurations for CORESET, BWP and PDCCH for source and target cell during inter-frequency handover. </w:t>
      </w:r>
    </w:p>
    <w:p>
      <w:pPr>
        <w:snapToGrid w:val="0"/>
        <w:rPr>
          <w:rFonts w:eastAsiaTheme="minorEastAsia"/>
          <w:i/>
          <w:kern w:val="2"/>
          <w:lang w:val="en-US" w:eastAsia="zh-CN"/>
        </w:rPr>
      </w:pPr>
      <w:r>
        <w:rPr>
          <w:rFonts w:eastAsiaTheme="minorEastAsia"/>
          <w:b/>
          <w:bCs/>
          <w:i/>
          <w:kern w:val="2"/>
          <w:lang w:val="en-US" w:eastAsia="zh-CN"/>
        </w:rPr>
        <w:t>Proposal</w:t>
      </w:r>
      <w:r>
        <w:rPr>
          <w:rFonts w:hint="eastAsia" w:eastAsiaTheme="minorEastAsia"/>
          <w:b/>
          <w:bCs/>
          <w:i/>
          <w:kern w:val="2"/>
          <w:lang w:val="en-US" w:eastAsia="zh-CN"/>
        </w:rPr>
        <w:t xml:space="preserve"> </w:t>
      </w:r>
      <w:r>
        <w:rPr>
          <w:rFonts w:eastAsiaTheme="minorEastAsia"/>
          <w:b/>
          <w:bCs/>
          <w:i/>
          <w:kern w:val="2"/>
          <w:lang w:val="en-US" w:eastAsia="zh-CN"/>
        </w:rPr>
        <w:t>1:</w:t>
      </w:r>
      <w:r>
        <w:rPr>
          <w:rFonts w:eastAsiaTheme="minorEastAsia"/>
          <w:i/>
          <w:kern w:val="2"/>
          <w:lang w:val="en-US" w:eastAsia="zh-CN"/>
        </w:rPr>
        <w:t xml:space="preserve"> For inter-frequency handover, the current DC design </w:t>
      </w:r>
      <w:r>
        <w:rPr>
          <w:rFonts w:hint="eastAsia" w:eastAsiaTheme="minorEastAsia"/>
          <w:i/>
          <w:kern w:val="2"/>
          <w:lang w:val="en-US" w:eastAsia="zh-CN"/>
        </w:rPr>
        <w:t xml:space="preserve">for DL in physical layer </w:t>
      </w:r>
      <w:r>
        <w:rPr>
          <w:rFonts w:eastAsiaTheme="minorEastAsia"/>
          <w:i/>
          <w:kern w:val="2"/>
          <w:lang w:val="en-US" w:eastAsia="zh-CN"/>
        </w:rPr>
        <w:t>can be reused. There should be no additional restrictions on the configuration</w:t>
      </w:r>
      <w:r>
        <w:rPr>
          <w:rFonts w:hint="eastAsia" w:eastAsiaTheme="minorEastAsia"/>
          <w:i/>
          <w:kern w:val="2"/>
          <w:lang w:val="en-US" w:eastAsia="zh-CN"/>
        </w:rPr>
        <w:t>s</w:t>
      </w:r>
      <w:r>
        <w:rPr>
          <w:rFonts w:eastAsiaTheme="minorEastAsia"/>
          <w:i/>
          <w:kern w:val="2"/>
          <w:lang w:val="en-US" w:eastAsia="zh-CN"/>
        </w:rPr>
        <w:t xml:space="preserve"> for CORESET, BWP and PDCCH for source and target cell during inter-frequency handover.</w:t>
      </w:r>
    </w:p>
    <w:p>
      <w:pPr>
        <w:snapToGrid w:val="0"/>
        <w:rPr>
          <w:rFonts w:eastAsia="宋体"/>
          <w:kern w:val="2"/>
          <w:lang w:val="en-US" w:eastAsia="zh-CN"/>
        </w:rPr>
      </w:pPr>
      <w:r>
        <w:rPr>
          <w:rFonts w:hint="eastAsia"/>
          <w:kern w:val="2"/>
          <w:lang w:val="en-US" w:eastAsia="zh-CN"/>
        </w:rPr>
        <w:t>In intra-frequency handover, source cell and target cell are operating on the fully or partially overlapped bandwidth with mutual interference. Therefore, some special operations or restrictions are needed to alleviate interference. T</w:t>
      </w:r>
      <w:r>
        <w:rPr>
          <w:rFonts w:hint="eastAsia" w:eastAsia="宋体"/>
          <w:kern w:val="2"/>
          <w:lang w:val="en-US" w:eastAsia="zh-CN"/>
        </w:rPr>
        <w:t xml:space="preserve">here are generally two </w:t>
      </w:r>
      <w:r>
        <w:rPr>
          <w:rFonts w:eastAsia="宋体"/>
          <w:kern w:val="2"/>
          <w:lang w:val="en-US" w:eastAsia="zh-CN"/>
        </w:rPr>
        <w:t>option</w:t>
      </w:r>
      <w:r>
        <w:rPr>
          <w:rFonts w:hint="eastAsia" w:eastAsia="宋体"/>
          <w:kern w:val="2"/>
          <w:lang w:val="en-US" w:eastAsia="zh-CN"/>
        </w:rPr>
        <w:t xml:space="preserve">s for this. </w:t>
      </w:r>
    </w:p>
    <w:p>
      <w:pPr>
        <w:pStyle w:val="110"/>
        <w:numPr>
          <w:ilvl w:val="0"/>
          <w:numId w:val="10"/>
        </w:numPr>
        <w:snapToGrid w:val="0"/>
        <w:ind w:firstLineChars="0"/>
        <w:rPr>
          <w:kern w:val="2"/>
          <w:lang w:val="en-US" w:eastAsia="zh-CN"/>
        </w:rPr>
      </w:pPr>
      <w:r>
        <w:rPr>
          <w:rFonts w:eastAsia="宋体"/>
          <w:kern w:val="2"/>
          <w:lang w:val="en-US" w:eastAsia="zh-CN"/>
        </w:rPr>
        <w:t xml:space="preserve">Option 1 is </w:t>
      </w:r>
      <w:r>
        <w:rPr>
          <w:rFonts w:hint="eastAsia"/>
          <w:kern w:val="2"/>
          <w:lang w:val="en-US" w:eastAsia="zh-CN"/>
        </w:rPr>
        <w:t xml:space="preserve">to construct inter-frequency like operation by BWP configuration, i.e. the active BWP of source cell and target cell are </w:t>
      </w:r>
      <w:r>
        <w:rPr>
          <w:kern w:val="2"/>
          <w:lang w:val="en-US" w:eastAsia="zh-CN"/>
        </w:rPr>
        <w:t xml:space="preserve">TDM-ed and/or </w:t>
      </w:r>
      <w:r>
        <w:rPr>
          <w:rFonts w:hint="eastAsia"/>
          <w:kern w:val="2"/>
          <w:lang w:val="en-US" w:eastAsia="zh-CN"/>
        </w:rPr>
        <w:t xml:space="preserve">FDM-ed without any overlapping. This is quite simple with less coordination between source cell and target cell. In this case, additional restrictions are not needed. </w:t>
      </w:r>
    </w:p>
    <w:p>
      <w:pPr>
        <w:pStyle w:val="110"/>
        <w:numPr>
          <w:ilvl w:val="0"/>
          <w:numId w:val="10"/>
        </w:numPr>
        <w:snapToGrid w:val="0"/>
        <w:ind w:firstLineChars="0"/>
        <w:rPr>
          <w:kern w:val="2"/>
          <w:lang w:val="en-US" w:eastAsia="zh-CN"/>
        </w:rPr>
      </w:pPr>
      <w:r>
        <w:rPr>
          <w:kern w:val="2"/>
          <w:lang w:val="en-US" w:eastAsia="zh-CN"/>
        </w:rPr>
        <w:t>Option 2</w:t>
      </w:r>
      <w:r>
        <w:rPr>
          <w:rFonts w:hint="eastAsia"/>
          <w:kern w:val="2"/>
          <w:lang w:val="en-US" w:eastAsia="zh-CN"/>
        </w:rPr>
        <w:t xml:space="preserve"> is to </w:t>
      </w:r>
      <w:r>
        <w:rPr>
          <w:kern w:val="2"/>
          <w:lang w:val="en-US" w:eastAsia="zh-CN"/>
        </w:rPr>
        <w:t>re</w:t>
      </w:r>
      <w:r>
        <w:rPr>
          <w:rFonts w:hint="eastAsia"/>
          <w:kern w:val="2"/>
          <w:lang w:val="en-US" w:eastAsia="zh-CN"/>
        </w:rPr>
        <w:t xml:space="preserve">use </w:t>
      </w:r>
      <w:r>
        <w:rPr>
          <w:kern w:val="2"/>
          <w:lang w:val="en-US" w:eastAsia="zh-CN"/>
        </w:rPr>
        <w:t>some of the</w:t>
      </w:r>
      <w:r>
        <w:rPr>
          <w:rFonts w:hint="eastAsia"/>
          <w:kern w:val="2"/>
          <w:lang w:val="en-US" w:eastAsia="zh-CN"/>
        </w:rPr>
        <w:t xml:space="preserve"> </w:t>
      </w:r>
      <w:r>
        <w:rPr>
          <w:kern w:val="2"/>
          <w:lang w:val="en-US" w:eastAsia="zh-CN"/>
        </w:rPr>
        <w:t xml:space="preserve">multi-TRP </w:t>
      </w:r>
      <w:r>
        <w:rPr>
          <w:rFonts w:hint="eastAsia"/>
          <w:kern w:val="2"/>
          <w:lang w:val="en-US" w:eastAsia="zh-CN"/>
        </w:rPr>
        <w:t xml:space="preserve">design </w:t>
      </w:r>
      <w:r>
        <w:rPr>
          <w:kern w:val="2"/>
          <w:lang w:val="en-US" w:eastAsia="zh-CN"/>
        </w:rPr>
        <w:t xml:space="preserve">in physical layer </w:t>
      </w:r>
      <w:r>
        <w:rPr>
          <w:rFonts w:hint="eastAsia"/>
          <w:kern w:val="2"/>
          <w:lang w:val="en-US" w:eastAsia="zh-CN"/>
        </w:rPr>
        <w:t>since it can alleviate mutual interference to provide the possibility of simultaneous PDSCH transmission on the same resource. Besides,</w:t>
      </w:r>
      <w:r>
        <w:rPr>
          <w:rFonts w:hint="eastAsia" w:eastAsiaTheme="minorEastAsia"/>
          <w:iCs/>
          <w:kern w:val="2"/>
          <w:lang w:val="en-US" w:eastAsia="zh-CN"/>
        </w:rPr>
        <w:t xml:space="preserve"> it is not possible for PDCCH reception on the same resource in MIMO discussion due to interference. Therefore, the CORESET and PDCCH should be configured with no overlapped resource for PDCCH between source cell and target cell.  </w:t>
      </w:r>
    </w:p>
    <w:p>
      <w:pPr>
        <w:snapToGrid w:val="0"/>
        <w:rPr>
          <w:kern w:val="2"/>
          <w:lang w:val="en-US" w:eastAsia="zh-CN"/>
        </w:rPr>
      </w:pPr>
      <w:r>
        <w:rPr>
          <w:rFonts w:hint="eastAsia" w:eastAsiaTheme="minorEastAsia"/>
          <w:kern w:val="2"/>
          <w:lang w:val="en-US" w:eastAsia="zh-CN"/>
        </w:rPr>
        <w:t>In RAN1#96bis, there were some discussions on the feasibility of simultaneous transmission and reception with source cell and target cell for a UE in various deployment scenarios. The feasibility also depends on UE capability.</w:t>
      </w:r>
      <w:r>
        <w:rPr>
          <w:rFonts w:hint="eastAsia"/>
          <w:kern w:val="2"/>
          <w:lang w:val="en-US" w:eastAsia="zh-CN"/>
        </w:rPr>
        <w:t xml:space="preserve"> According to the conclusion, it is not feasible to support simultaneous transmission or reception for some UE in some scenarios. In this case, reception and transmission with source cell and target cell in TDM manner is a good method to support DAPS solution in this case. That is to say that UE just needs to receive from or transmit to either source cell or target cell at one time. This can be achieved by network scheduling since NR has a flexible HARQ timing. </w:t>
      </w:r>
      <w:r>
        <w:rPr>
          <w:kern w:val="2"/>
          <w:lang w:val="en-US" w:eastAsia="zh-CN"/>
        </w:rPr>
        <w:t xml:space="preserve">Some minor RAN1 impact may be needed to preclude simultaneous transmission/reception in the same slot.  </w:t>
      </w:r>
      <w:r>
        <w:rPr>
          <w:rFonts w:hint="eastAsia"/>
          <w:kern w:val="2"/>
          <w:lang w:val="en-US" w:eastAsia="zh-CN"/>
        </w:rPr>
        <w:t xml:space="preserve">However, some </w:t>
      </w:r>
      <w:bookmarkStart w:id="4" w:name="OLE_LINK3"/>
      <w:r>
        <w:rPr>
          <w:rFonts w:hint="eastAsia"/>
          <w:kern w:val="2"/>
          <w:lang w:val="en-US" w:eastAsia="zh-CN"/>
        </w:rPr>
        <w:t xml:space="preserve">coordination </w:t>
      </w:r>
      <w:bookmarkEnd w:id="4"/>
      <w:r>
        <w:rPr>
          <w:rFonts w:hint="eastAsia"/>
          <w:kern w:val="2"/>
          <w:lang w:val="en-US" w:eastAsia="zh-CN"/>
        </w:rPr>
        <w:t xml:space="preserve">are required for source cell and target cell to make a </w:t>
      </w:r>
      <w:bookmarkStart w:id="5" w:name="OLE_LINK2"/>
      <w:r>
        <w:rPr>
          <w:rFonts w:hint="eastAsia"/>
          <w:kern w:val="2"/>
          <w:lang w:val="en-US" w:eastAsia="zh-CN"/>
        </w:rPr>
        <w:t xml:space="preserve">consensus </w:t>
      </w:r>
      <w:bookmarkEnd w:id="5"/>
      <w:r>
        <w:rPr>
          <w:rFonts w:hint="eastAsia"/>
          <w:kern w:val="2"/>
          <w:lang w:val="en-US" w:eastAsia="zh-CN"/>
        </w:rPr>
        <w:t xml:space="preserve">on the resources allocation like which slots can be scheduled by source cell and which slots can be scheduled by target cell. This may have RAN3 impact (i.e. inter-gNB signaling) and RAN1 can provide some assistance information for RAN3 progress, e.g. the indicated time domain resource duration and/or period in the inter-gNB signaling which will affect the resource allocation flexibility. </w:t>
      </w:r>
      <w:r>
        <w:rPr>
          <w:kern w:val="2"/>
          <w:lang w:val="en-US" w:eastAsia="zh-CN"/>
        </w:rPr>
        <w:t>TDM based approach is required for the UEs without the capability on simultaneous transmission/reception. Even for the UEs with capability on simultaneous transmission/reception, a common TDM based approach can be applied. So TDM based approach can be considered as a baseline solution for all UEs supporting DAPS handover. In addition, slot based TDM is probably sufficient. For the UE with multi-TRP capability, it may not need much extra complexity to support simultaneous DL reception in DAPS handover.  We can further discuss whether and how these UEs support simultaneous DL reception in this case including the spec. impact.</w:t>
      </w:r>
    </w:p>
    <w:p>
      <w:pPr>
        <w:snapToGrid w:val="0"/>
        <w:rPr>
          <w:kern w:val="2"/>
          <w:lang w:val="en-US" w:eastAsia="zh-CN"/>
        </w:rPr>
      </w:pPr>
      <w:r>
        <w:rPr>
          <w:rFonts w:hint="eastAsia"/>
          <w:b/>
          <w:bCs/>
          <w:i/>
          <w:iCs/>
          <w:kern w:val="2"/>
          <w:lang w:val="en-US" w:eastAsia="zh-CN"/>
        </w:rPr>
        <w:t xml:space="preserve">Proposal </w:t>
      </w:r>
      <w:r>
        <w:rPr>
          <w:b/>
          <w:bCs/>
          <w:i/>
          <w:iCs/>
          <w:kern w:val="2"/>
          <w:lang w:val="en-US" w:eastAsia="zh-CN"/>
        </w:rPr>
        <w:t>2</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At least for intra-frequency handover, slot based </w:t>
      </w:r>
      <w:r>
        <w:rPr>
          <w:rFonts w:hint="eastAsia"/>
          <w:i/>
          <w:iCs/>
          <w:kern w:val="2"/>
          <w:lang w:val="en-US" w:eastAsia="zh-CN"/>
        </w:rPr>
        <w:t xml:space="preserve">TDM </w:t>
      </w:r>
      <w:r>
        <w:rPr>
          <w:i/>
          <w:iCs/>
          <w:kern w:val="2"/>
          <w:lang w:val="en-US" w:eastAsia="zh-CN"/>
        </w:rPr>
        <w:t xml:space="preserve">approach </w:t>
      </w:r>
      <w:r>
        <w:rPr>
          <w:rFonts w:hint="eastAsia"/>
          <w:i/>
          <w:iCs/>
          <w:kern w:val="2"/>
          <w:lang w:val="en-US" w:eastAsia="zh-CN"/>
        </w:rPr>
        <w:t xml:space="preserve">achieved by network scheduling </w:t>
      </w:r>
      <w:r>
        <w:rPr>
          <w:i/>
          <w:iCs/>
          <w:kern w:val="2"/>
          <w:lang w:val="en-US" w:eastAsia="zh-CN"/>
        </w:rPr>
        <w:t xml:space="preserve">is supported by all UEs with capability of </w:t>
      </w:r>
      <w:r>
        <w:rPr>
          <w:rFonts w:hint="eastAsia"/>
          <w:i/>
          <w:iCs/>
          <w:kern w:val="2"/>
          <w:lang w:val="en-US" w:eastAsia="zh-CN"/>
        </w:rPr>
        <w:t>DAPS handover</w:t>
      </w:r>
      <w:r>
        <w:rPr>
          <w:i/>
          <w:iCs/>
          <w:kern w:val="2"/>
          <w:lang w:val="en-US" w:eastAsia="zh-CN"/>
        </w:rPr>
        <w:t xml:space="preserve"> i.e. including the UEs with and without capability of simultaneous DL reception.</w:t>
      </w:r>
      <w:r>
        <w:rPr>
          <w:rFonts w:hint="eastAsia"/>
          <w:i/>
          <w:iCs/>
          <w:kern w:val="2"/>
          <w:lang w:val="en-US" w:eastAsia="zh-CN"/>
        </w:rPr>
        <w:t xml:space="preserve"> </w:t>
      </w:r>
      <w:r>
        <w:rPr>
          <w:rFonts w:hint="eastAsia"/>
          <w:kern w:val="2"/>
          <w:lang w:val="en-US" w:eastAsia="zh-CN"/>
        </w:rPr>
        <w:t xml:space="preserve"> </w:t>
      </w:r>
      <w:r>
        <w:rPr>
          <w:kern w:val="2"/>
          <w:lang w:val="en-US" w:eastAsia="zh-CN"/>
        </w:rPr>
        <w:t xml:space="preserve"> </w:t>
      </w:r>
    </w:p>
    <w:p>
      <w:pPr>
        <w:pStyle w:val="110"/>
        <w:numPr>
          <w:ilvl w:val="0"/>
          <w:numId w:val="11"/>
        </w:numPr>
        <w:snapToGrid w:val="0"/>
        <w:ind w:left="567" w:hanging="113" w:firstLineChars="0"/>
        <w:rPr>
          <w:rFonts w:hint="eastAsia"/>
          <w:i/>
          <w:kern w:val="2"/>
          <w:lang w:val="en-US" w:eastAsia="zh-CN"/>
        </w:rPr>
      </w:pPr>
      <w:r>
        <w:rPr>
          <w:rFonts w:hint="eastAsia" w:eastAsiaTheme="minorEastAsia"/>
          <w:i/>
          <w:kern w:val="2"/>
          <w:lang w:val="en-US" w:eastAsia="zh-CN"/>
        </w:rPr>
        <w:t>FFS whether</w:t>
      </w:r>
      <w:r>
        <w:rPr>
          <w:rFonts w:eastAsiaTheme="minorEastAsia"/>
          <w:i/>
          <w:kern w:val="2"/>
          <w:lang w:val="en-US" w:eastAsia="zh-CN"/>
        </w:rPr>
        <w:t xml:space="preserve"> and how</w:t>
      </w:r>
      <w:r>
        <w:rPr>
          <w:rFonts w:hint="eastAsia" w:eastAsiaTheme="minorEastAsia"/>
          <w:i/>
          <w:kern w:val="2"/>
          <w:lang w:val="en-US" w:eastAsia="zh-CN"/>
        </w:rPr>
        <w:t xml:space="preserve"> UEs </w:t>
      </w:r>
      <w:r>
        <w:rPr>
          <w:rFonts w:eastAsiaTheme="minorEastAsia"/>
          <w:i/>
          <w:kern w:val="2"/>
          <w:lang w:val="en-US" w:eastAsia="zh-CN"/>
        </w:rPr>
        <w:t>with multi-TRP capability can support simultaneous DL reception in DAPS handover</w:t>
      </w:r>
    </w:p>
    <w:p>
      <w:pPr>
        <w:pStyle w:val="3"/>
        <w:numPr>
          <w:ilvl w:val="1"/>
          <w:numId w:val="1"/>
        </w:numPr>
        <w:snapToGrid w:val="0"/>
        <w:rPr>
          <w:iCs w:val="0"/>
          <w:lang w:eastAsia="zh-CN"/>
        </w:rPr>
      </w:pPr>
      <w:r>
        <w:rPr>
          <w:lang w:eastAsia="zh-CN"/>
        </w:rPr>
        <w:t>Discussion on UL transmission</w:t>
      </w:r>
    </w:p>
    <w:p>
      <w:pPr>
        <w:snapToGrid w:val="0"/>
        <w:rPr>
          <w:kern w:val="2"/>
          <w:lang w:val="en-US" w:eastAsia="zh-CN"/>
        </w:rPr>
      </w:pPr>
      <w:r>
        <w:rPr>
          <w:rFonts w:hint="eastAsia"/>
          <w:lang w:val="en-US" w:eastAsia="zh-CN"/>
        </w:rPr>
        <w:t xml:space="preserve">When both source cell and target cell are connected, a UE may transmit uplink signals simultaneously if it is feasible. This is similar </w:t>
      </w:r>
      <w:r>
        <w:rPr>
          <w:lang w:val="en-US" w:eastAsia="zh-CN"/>
        </w:rPr>
        <w:t>to</w:t>
      </w:r>
      <w:r>
        <w:rPr>
          <w:rFonts w:hint="eastAsia"/>
          <w:lang w:val="en-US" w:eastAsia="zh-CN"/>
        </w:rPr>
        <w:t xml:space="preserve"> the uplink transmission in NR-DC. Therefore, power sharing scheme discussed in NR-DC can be reused very well.</w:t>
      </w:r>
      <w:r>
        <w:rPr>
          <w:lang w:val="en-US" w:eastAsia="zh-CN"/>
        </w:rPr>
        <w:t xml:space="preserve"> </w:t>
      </w:r>
      <w:r>
        <w:rPr>
          <w:rFonts w:hint="eastAsia"/>
          <w:kern w:val="2"/>
          <w:lang w:val="en-US" w:eastAsia="zh-CN"/>
        </w:rPr>
        <w:t xml:space="preserve">For the case that uplink power is not limited, a power sharing scheme can be used for simultaneous transmission to two cells as discussed in Rel-16 NR DC. For the case that uplink power is limited, a TDM pattern for single uplink transmission can be used. This can be achieved by configuring the uplink transmit power to be zero for one cell. </w:t>
      </w:r>
    </w:p>
    <w:p>
      <w:pPr>
        <w:snapToGrid w:val="0"/>
        <w:rPr>
          <w:kern w:val="2"/>
          <w:lang w:val="en-US" w:eastAsia="zh-CN"/>
        </w:rPr>
      </w:pPr>
      <w:r>
        <w:rPr>
          <w:rFonts w:hint="eastAsia"/>
          <w:b/>
          <w:bCs/>
          <w:i/>
          <w:iCs/>
          <w:kern w:val="2"/>
          <w:lang w:val="en-US" w:eastAsia="zh-CN"/>
        </w:rPr>
        <w:t xml:space="preserve">Proposal </w:t>
      </w:r>
      <w:r>
        <w:rPr>
          <w:b/>
          <w:bCs/>
          <w:i/>
          <w:iCs/>
          <w:kern w:val="2"/>
          <w:lang w:val="en-US" w:eastAsia="zh-CN"/>
        </w:rPr>
        <w:t>3</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For inter-frequency handover, power sharing </w:t>
      </w:r>
      <w:r>
        <w:rPr>
          <w:rFonts w:hint="eastAsia"/>
          <w:i/>
          <w:iCs/>
          <w:kern w:val="2"/>
          <w:lang w:val="en-US" w:eastAsia="zh-CN"/>
        </w:rPr>
        <w:t xml:space="preserve">scheme in Rel-16 NR-DC can be reused to </w:t>
      </w:r>
      <w:r>
        <w:rPr>
          <w:i/>
          <w:iCs/>
          <w:kern w:val="2"/>
          <w:lang w:val="en-US" w:eastAsia="zh-CN"/>
        </w:rPr>
        <w:t xml:space="preserve">support simultaneous transmission to two cells from a UE with capability of simultaneous transmission. </w:t>
      </w:r>
      <w:r>
        <w:rPr>
          <w:rFonts w:hint="eastAsia"/>
          <w:i/>
          <w:iCs/>
          <w:kern w:val="2"/>
          <w:lang w:val="en-US" w:eastAsia="zh-CN"/>
        </w:rPr>
        <w:t xml:space="preserve">For </w:t>
      </w:r>
      <w:r>
        <w:rPr>
          <w:i/>
          <w:iCs/>
          <w:kern w:val="2"/>
          <w:lang w:val="en-US" w:eastAsia="zh-CN"/>
        </w:rPr>
        <w:t xml:space="preserve">intra-frequency handover or for </w:t>
      </w:r>
      <w:r>
        <w:rPr>
          <w:rFonts w:hint="eastAsia"/>
          <w:i/>
          <w:iCs/>
          <w:kern w:val="2"/>
          <w:lang w:val="en-US" w:eastAsia="zh-CN"/>
        </w:rPr>
        <w:t xml:space="preserve">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p>
    <w:p>
      <w:pPr>
        <w:pStyle w:val="2"/>
        <w:snapToGrid w:val="0"/>
        <w:spacing w:beforeLines="0" w:after="180" w:afterLines="50"/>
      </w:pPr>
      <w:r>
        <w:rPr>
          <w:rFonts w:hint="eastAsia"/>
        </w:rPr>
        <w:t>Conclusion</w:t>
      </w:r>
    </w:p>
    <w:p>
      <w:pPr>
        <w:snapToGrid w:val="0"/>
        <w:rPr>
          <w:rFonts w:eastAsia="宋体"/>
          <w:kern w:val="2"/>
          <w:lang w:val="en-US" w:eastAsia="zh-CN"/>
        </w:rPr>
      </w:pPr>
      <w:r>
        <w:rPr>
          <w:rFonts w:hint="eastAsia" w:eastAsia="宋体"/>
          <w:kern w:val="2"/>
          <w:lang w:val="en-US" w:eastAsia="zh-CN"/>
        </w:rPr>
        <w:t>According to the discussions above, we have the following observations and proposals:</w:t>
      </w:r>
    </w:p>
    <w:p>
      <w:pPr>
        <w:snapToGrid w:val="0"/>
        <w:rPr>
          <w:rFonts w:eastAsia="宋体"/>
          <w:i/>
          <w:iCs/>
          <w:kern w:val="2"/>
          <w:lang w:eastAsia="zh-CN"/>
        </w:rPr>
      </w:pPr>
      <w:r>
        <w:rPr>
          <w:b/>
          <w:bCs/>
          <w:i/>
          <w:iCs/>
          <w:kern w:val="2"/>
          <w:lang w:val="en-US" w:eastAsia="zh-CN"/>
        </w:rPr>
        <w:t>Observation</w:t>
      </w:r>
      <w:r>
        <w:rPr>
          <w:rFonts w:hint="eastAsia"/>
          <w:b/>
          <w:bCs/>
          <w:i/>
          <w:iCs/>
          <w:kern w:val="2"/>
          <w:lang w:val="en-US" w:eastAsia="zh-CN"/>
        </w:rPr>
        <w:t xml:space="preserve"> 1:</w:t>
      </w:r>
      <w:r>
        <w:rPr>
          <w:rFonts w:hint="eastAsia"/>
          <w:i/>
          <w:iCs/>
          <w:kern w:val="2"/>
          <w:lang w:val="en-US" w:eastAsia="zh-CN"/>
        </w:rPr>
        <w:t xml:space="preserve"> The design of multi-TRP can be reused for DAPS based handover only when the network can make sure that the </w:t>
      </w:r>
      <w:r>
        <w:rPr>
          <w:rFonts w:hint="eastAsia" w:eastAsia="宋体"/>
          <w:i/>
          <w:iCs/>
          <w:kern w:val="2"/>
          <w:lang w:val="en-US" w:eastAsia="zh-CN"/>
        </w:rPr>
        <w:t>receiv</w:t>
      </w:r>
      <w:r>
        <w:rPr>
          <w:rFonts w:eastAsia="宋体"/>
          <w:i/>
          <w:iCs/>
          <w:kern w:val="2"/>
          <w:lang w:val="en-US" w:eastAsia="zh-CN"/>
        </w:rPr>
        <w:t>e</w:t>
      </w:r>
      <w:r>
        <w:rPr>
          <w:rFonts w:hint="eastAsia" w:eastAsia="宋体"/>
          <w:i/>
          <w:iCs/>
          <w:kern w:val="2"/>
          <w:lang w:val="en-US" w:eastAsia="zh-CN"/>
        </w:rPr>
        <w:t xml:space="preserve"> timing difference between source cell and target cell observed by UE is less than CP.</w:t>
      </w:r>
    </w:p>
    <w:p>
      <w:pPr>
        <w:snapToGrid w:val="0"/>
        <w:rPr>
          <w:i/>
          <w:iCs/>
          <w:kern w:val="2"/>
          <w:lang w:val="en-US" w:eastAsia="zh-CN"/>
        </w:rPr>
      </w:pPr>
      <w:r>
        <w:rPr>
          <w:b/>
          <w:bCs/>
          <w:i/>
          <w:iCs/>
          <w:kern w:val="2"/>
          <w:lang w:val="en-US" w:eastAsia="zh-CN"/>
        </w:rPr>
        <w:t>Observation 2</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Some of the restrictions defined for multi-TRP may not be appropriate to intra-frequency handover. Some require tight coordination between gNBs. Further work is required to identify which restrictions </w:t>
      </w:r>
      <w:r>
        <w:rPr>
          <w:rFonts w:hint="eastAsia"/>
          <w:i/>
          <w:iCs/>
          <w:kern w:val="2"/>
          <w:lang w:val="en-US" w:eastAsia="zh-CN"/>
        </w:rPr>
        <w:t>can be reused in NR mobility enhancement</w:t>
      </w:r>
      <w:r>
        <w:rPr>
          <w:i/>
          <w:iCs/>
          <w:kern w:val="2"/>
          <w:lang w:val="en-US" w:eastAsia="zh-CN"/>
        </w:rPr>
        <w:t xml:space="preserve"> and the corresponding specification impact.</w:t>
      </w:r>
    </w:p>
    <w:p>
      <w:pPr>
        <w:snapToGrid w:val="0"/>
        <w:rPr>
          <w:rFonts w:eastAsiaTheme="minorEastAsia"/>
          <w:i/>
          <w:kern w:val="2"/>
          <w:lang w:val="en-US" w:eastAsia="zh-CN"/>
        </w:rPr>
      </w:pPr>
      <w:r>
        <w:rPr>
          <w:rFonts w:eastAsiaTheme="minorEastAsia"/>
          <w:b/>
          <w:bCs/>
          <w:i/>
          <w:kern w:val="2"/>
          <w:lang w:val="en-US" w:eastAsia="zh-CN"/>
        </w:rPr>
        <w:t>Proposal</w:t>
      </w:r>
      <w:r>
        <w:rPr>
          <w:rFonts w:hint="eastAsia" w:eastAsiaTheme="minorEastAsia"/>
          <w:b/>
          <w:bCs/>
          <w:i/>
          <w:kern w:val="2"/>
          <w:lang w:val="en-US" w:eastAsia="zh-CN"/>
        </w:rPr>
        <w:t xml:space="preserve"> </w:t>
      </w:r>
      <w:r>
        <w:rPr>
          <w:rFonts w:eastAsiaTheme="minorEastAsia"/>
          <w:b/>
          <w:bCs/>
          <w:i/>
          <w:kern w:val="2"/>
          <w:lang w:val="en-US" w:eastAsia="zh-CN"/>
        </w:rPr>
        <w:t>1:</w:t>
      </w:r>
      <w:r>
        <w:rPr>
          <w:rFonts w:eastAsiaTheme="minorEastAsia"/>
          <w:i/>
          <w:kern w:val="2"/>
          <w:lang w:val="en-US" w:eastAsia="zh-CN"/>
        </w:rPr>
        <w:t xml:space="preserve"> For inter-frequency handover, the current DC design </w:t>
      </w:r>
      <w:r>
        <w:rPr>
          <w:rFonts w:hint="eastAsia" w:eastAsiaTheme="minorEastAsia"/>
          <w:i/>
          <w:kern w:val="2"/>
          <w:lang w:val="en-US" w:eastAsia="zh-CN"/>
        </w:rPr>
        <w:t xml:space="preserve">for DL in physical layer </w:t>
      </w:r>
      <w:r>
        <w:rPr>
          <w:rFonts w:eastAsiaTheme="minorEastAsia"/>
          <w:i/>
          <w:kern w:val="2"/>
          <w:lang w:val="en-US" w:eastAsia="zh-CN"/>
        </w:rPr>
        <w:t>can be reused. There should be no additional restrictions on the configuration</w:t>
      </w:r>
      <w:r>
        <w:rPr>
          <w:rFonts w:hint="eastAsia" w:eastAsiaTheme="minorEastAsia"/>
          <w:i/>
          <w:kern w:val="2"/>
          <w:lang w:val="en-US" w:eastAsia="zh-CN"/>
        </w:rPr>
        <w:t>s</w:t>
      </w:r>
      <w:r>
        <w:rPr>
          <w:rFonts w:eastAsiaTheme="minorEastAsia"/>
          <w:i/>
          <w:kern w:val="2"/>
          <w:lang w:val="en-US" w:eastAsia="zh-CN"/>
        </w:rPr>
        <w:t xml:space="preserve"> for CORESET, BWP and PDCCH for source and target cell during inter-frequency handover.</w:t>
      </w:r>
    </w:p>
    <w:p>
      <w:pPr>
        <w:snapToGrid w:val="0"/>
        <w:rPr>
          <w:kern w:val="2"/>
          <w:lang w:val="en-US" w:eastAsia="zh-CN"/>
        </w:rPr>
      </w:pPr>
      <w:r>
        <w:rPr>
          <w:rFonts w:hint="eastAsia"/>
          <w:b/>
          <w:bCs/>
          <w:i/>
          <w:iCs/>
          <w:kern w:val="2"/>
          <w:lang w:val="en-US" w:eastAsia="zh-CN"/>
        </w:rPr>
        <w:t xml:space="preserve">Proposal </w:t>
      </w:r>
      <w:r>
        <w:rPr>
          <w:b/>
          <w:bCs/>
          <w:i/>
          <w:iCs/>
          <w:kern w:val="2"/>
          <w:lang w:val="en-US" w:eastAsia="zh-CN"/>
        </w:rPr>
        <w:t>2</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At least for intra-frequency handover, slot based </w:t>
      </w:r>
      <w:r>
        <w:rPr>
          <w:rFonts w:hint="eastAsia"/>
          <w:i/>
          <w:iCs/>
          <w:kern w:val="2"/>
          <w:lang w:val="en-US" w:eastAsia="zh-CN"/>
        </w:rPr>
        <w:t xml:space="preserve">TDM </w:t>
      </w:r>
      <w:r>
        <w:rPr>
          <w:i/>
          <w:iCs/>
          <w:kern w:val="2"/>
          <w:lang w:val="en-US" w:eastAsia="zh-CN"/>
        </w:rPr>
        <w:t xml:space="preserve">approach </w:t>
      </w:r>
      <w:r>
        <w:rPr>
          <w:rFonts w:hint="eastAsia"/>
          <w:i/>
          <w:iCs/>
          <w:kern w:val="2"/>
          <w:lang w:val="en-US" w:eastAsia="zh-CN"/>
        </w:rPr>
        <w:t xml:space="preserve">achieved by network scheduling </w:t>
      </w:r>
      <w:r>
        <w:rPr>
          <w:i/>
          <w:iCs/>
          <w:kern w:val="2"/>
          <w:lang w:val="en-US" w:eastAsia="zh-CN"/>
        </w:rPr>
        <w:t xml:space="preserve">is supported by all UEs with capability of </w:t>
      </w:r>
      <w:r>
        <w:rPr>
          <w:rFonts w:hint="eastAsia"/>
          <w:i/>
          <w:iCs/>
          <w:kern w:val="2"/>
          <w:lang w:val="en-US" w:eastAsia="zh-CN"/>
        </w:rPr>
        <w:t>DAPS handover</w:t>
      </w:r>
      <w:r>
        <w:rPr>
          <w:i/>
          <w:iCs/>
          <w:kern w:val="2"/>
          <w:lang w:val="en-US" w:eastAsia="zh-CN"/>
        </w:rPr>
        <w:t xml:space="preserve"> i.e. including the UEs with and without capability of simultaneous DL reception.</w:t>
      </w:r>
      <w:r>
        <w:rPr>
          <w:rFonts w:hint="eastAsia"/>
          <w:i/>
          <w:iCs/>
          <w:kern w:val="2"/>
          <w:lang w:val="en-US" w:eastAsia="zh-CN"/>
        </w:rPr>
        <w:t xml:space="preserve"> </w:t>
      </w:r>
      <w:r>
        <w:rPr>
          <w:rFonts w:hint="eastAsia"/>
          <w:kern w:val="2"/>
          <w:lang w:val="en-US" w:eastAsia="zh-CN"/>
        </w:rPr>
        <w:t xml:space="preserve"> </w:t>
      </w:r>
      <w:r>
        <w:rPr>
          <w:kern w:val="2"/>
          <w:lang w:val="en-US" w:eastAsia="zh-CN"/>
        </w:rPr>
        <w:t xml:space="preserve"> </w:t>
      </w:r>
    </w:p>
    <w:p>
      <w:pPr>
        <w:pStyle w:val="110"/>
        <w:numPr>
          <w:ilvl w:val="0"/>
          <w:numId w:val="11"/>
        </w:numPr>
        <w:snapToGrid w:val="0"/>
        <w:ind w:firstLineChars="0"/>
        <w:rPr>
          <w:i/>
          <w:kern w:val="2"/>
          <w:lang w:val="en-US" w:eastAsia="zh-CN"/>
        </w:rPr>
      </w:pPr>
      <w:r>
        <w:rPr>
          <w:rFonts w:hint="eastAsia" w:eastAsiaTheme="minorEastAsia"/>
          <w:i/>
          <w:kern w:val="2"/>
          <w:lang w:val="en-US" w:eastAsia="zh-CN"/>
        </w:rPr>
        <w:t>FFS whether</w:t>
      </w:r>
      <w:r>
        <w:rPr>
          <w:rFonts w:eastAsiaTheme="minorEastAsia"/>
          <w:i/>
          <w:kern w:val="2"/>
          <w:lang w:val="en-US" w:eastAsia="zh-CN"/>
        </w:rPr>
        <w:t xml:space="preserve"> and how</w:t>
      </w:r>
      <w:r>
        <w:rPr>
          <w:rFonts w:hint="eastAsia" w:eastAsiaTheme="minorEastAsia"/>
          <w:i/>
          <w:kern w:val="2"/>
          <w:lang w:val="en-US" w:eastAsia="zh-CN"/>
        </w:rPr>
        <w:t xml:space="preserve"> UEs </w:t>
      </w:r>
      <w:r>
        <w:rPr>
          <w:rFonts w:eastAsiaTheme="minorEastAsia"/>
          <w:i/>
          <w:kern w:val="2"/>
          <w:lang w:val="en-US" w:eastAsia="zh-CN"/>
        </w:rPr>
        <w:t>with multi-TRP capability can support simultaneous DL reception in DAPS handover</w:t>
      </w:r>
    </w:p>
    <w:p>
      <w:pPr>
        <w:snapToGrid w:val="0"/>
        <w:rPr>
          <w:i/>
          <w:iCs/>
          <w:kern w:val="2"/>
          <w:lang w:val="en-US" w:eastAsia="zh-CN"/>
        </w:rPr>
      </w:pPr>
      <w:r>
        <w:rPr>
          <w:rFonts w:hint="eastAsia"/>
          <w:b/>
          <w:bCs/>
          <w:i/>
          <w:iCs/>
          <w:kern w:val="2"/>
          <w:lang w:val="en-US" w:eastAsia="zh-CN"/>
        </w:rPr>
        <w:t xml:space="preserve">Proposal </w:t>
      </w:r>
      <w:r>
        <w:rPr>
          <w:b/>
          <w:bCs/>
          <w:i/>
          <w:iCs/>
          <w:kern w:val="2"/>
          <w:lang w:val="en-US" w:eastAsia="zh-CN"/>
        </w:rPr>
        <w:t>3</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For inter-frequency handover, power sharing </w:t>
      </w:r>
      <w:r>
        <w:rPr>
          <w:rFonts w:hint="eastAsia"/>
          <w:i/>
          <w:iCs/>
          <w:kern w:val="2"/>
          <w:lang w:val="en-US" w:eastAsia="zh-CN"/>
        </w:rPr>
        <w:t xml:space="preserve">scheme in Rel-16 NR-DC can be reused to </w:t>
      </w:r>
      <w:r>
        <w:rPr>
          <w:i/>
          <w:iCs/>
          <w:kern w:val="2"/>
          <w:lang w:val="en-US" w:eastAsia="zh-CN"/>
        </w:rPr>
        <w:t xml:space="preserve">support simultaneous transmission to two cells from a UE with capability of simultaneous transmission. </w:t>
      </w:r>
      <w:r>
        <w:rPr>
          <w:rFonts w:hint="eastAsia"/>
          <w:i/>
          <w:iCs/>
          <w:kern w:val="2"/>
          <w:lang w:val="en-US" w:eastAsia="zh-CN"/>
        </w:rPr>
        <w:t xml:space="preserve">For </w:t>
      </w:r>
      <w:r>
        <w:rPr>
          <w:i/>
          <w:iCs/>
          <w:kern w:val="2"/>
          <w:lang w:val="en-US" w:eastAsia="zh-CN"/>
        </w:rPr>
        <w:t xml:space="preserve">intra-frequency handover or for </w:t>
      </w:r>
      <w:r>
        <w:rPr>
          <w:rFonts w:hint="eastAsia"/>
          <w:i/>
          <w:iCs/>
          <w:kern w:val="2"/>
          <w:lang w:val="en-US" w:eastAsia="zh-CN"/>
        </w:rPr>
        <w:t xml:space="preserve">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for switching between uplink transmissions to different cells.</w:t>
      </w:r>
    </w:p>
    <w:p>
      <w:pPr>
        <w:pStyle w:val="2"/>
        <w:snapToGrid w:val="0"/>
        <w:spacing w:beforeLines="0" w:after="180" w:afterLines="50"/>
      </w:pPr>
      <w:r>
        <w:rPr>
          <w:rFonts w:hint="eastAsia"/>
        </w:rPr>
        <w:t>Reference</w:t>
      </w:r>
    </w:p>
    <w:p>
      <w:pPr>
        <w:pStyle w:val="82"/>
        <w:numPr>
          <w:ilvl w:val="0"/>
          <w:numId w:val="12"/>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#107, Chairman's Notes final.</w:t>
      </w:r>
    </w:p>
    <w:p>
      <w:pPr>
        <w:pStyle w:val="82"/>
        <w:numPr>
          <w:ilvl w:val="0"/>
          <w:numId w:val="12"/>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RAN#85, RP-192330, Revised work item proposal: 2-step RACH for NR</w:t>
      </w:r>
    </w:p>
    <w:p>
      <w:pPr>
        <w:pStyle w:val="82"/>
        <w:numPr>
          <w:ilvl w:val="0"/>
          <w:numId w:val="12"/>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#98, Chairman's Notes final.</w:t>
      </w:r>
    </w:p>
    <w:p>
      <w:pPr>
        <w:pStyle w:val="82"/>
        <w:numPr>
          <w:ilvl w:val="0"/>
          <w:numId w:val="12"/>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RAN2 #106, Chairman's Notes final.</w:t>
      </w:r>
    </w:p>
    <w:p>
      <w:pPr>
        <w:pStyle w:val="82"/>
        <w:numPr>
          <w:ilvl w:val="0"/>
          <w:numId w:val="12"/>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RAN1 #97, Chairman's Notes final.</w:t>
      </w:r>
      <w:bookmarkStart w:id="6" w:name="_GoBack"/>
      <w:bookmarkEnd w:id="6"/>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A5DA5"/>
    <w:multiLevelType w:val="singleLevel"/>
    <w:tmpl w:val="803A5DA5"/>
    <w:lvl w:ilvl="0" w:tentative="0">
      <w:start w:val="1"/>
      <w:numFmt w:val="decimal"/>
      <w:suff w:val="space"/>
      <w:lvlText w:val="%1)"/>
      <w:lvlJc w:val="left"/>
    </w:lvl>
  </w:abstractNum>
  <w:abstractNum w:abstractNumId="1">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18AB1A05"/>
    <w:multiLevelType w:val="multilevel"/>
    <w:tmpl w:val="18AB1A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8464830"/>
    <w:multiLevelType w:val="multilevel"/>
    <w:tmpl w:val="284648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9291462"/>
    <w:multiLevelType w:val="multilevel"/>
    <w:tmpl w:val="39291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F22375F"/>
    <w:multiLevelType w:val="multilevel"/>
    <w:tmpl w:val="3F22375F"/>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5156122"/>
    <w:multiLevelType w:val="multilevel"/>
    <w:tmpl w:val="55156122"/>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8">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3807E69"/>
    <w:multiLevelType w:val="multilevel"/>
    <w:tmpl w:val="63807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5503F3"/>
    <w:multiLevelType w:val="multilevel"/>
    <w:tmpl w:val="755503F3"/>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6185551"/>
    <w:multiLevelType w:val="multilevel"/>
    <w:tmpl w:val="76185551"/>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num w:numId="1">
    <w:abstractNumId w:val="1"/>
  </w:num>
  <w:num w:numId="2">
    <w:abstractNumId w:val="11"/>
  </w:num>
  <w:num w:numId="3">
    <w:abstractNumId w:val="2"/>
  </w:num>
  <w:num w:numId="4">
    <w:abstractNumId w:val="0"/>
  </w:num>
  <w:num w:numId="5">
    <w:abstractNumId w:val="7"/>
  </w:num>
  <w:num w:numId="6">
    <w:abstractNumId w:val="4"/>
  </w:num>
  <w:num w:numId="7">
    <w:abstractNumId w:val="5"/>
  </w:num>
  <w:num w:numId="8">
    <w:abstractNumId w:val="8"/>
  </w:num>
  <w:num w:numId="9">
    <w:abstractNumId w:val="9"/>
  </w:num>
  <w:num w:numId="10">
    <w:abstractNumId w:val="6"/>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09F"/>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435C1F"/>
    <w:rsid w:val="014B5D9D"/>
    <w:rsid w:val="015E602F"/>
    <w:rsid w:val="01623DF4"/>
    <w:rsid w:val="018C4E10"/>
    <w:rsid w:val="018D7D07"/>
    <w:rsid w:val="019E6C2E"/>
    <w:rsid w:val="01BE1F86"/>
    <w:rsid w:val="01E376C5"/>
    <w:rsid w:val="01EA05C4"/>
    <w:rsid w:val="01F93655"/>
    <w:rsid w:val="0200121F"/>
    <w:rsid w:val="024541E2"/>
    <w:rsid w:val="025D7E89"/>
    <w:rsid w:val="028A4D94"/>
    <w:rsid w:val="02A67FEB"/>
    <w:rsid w:val="02B424ED"/>
    <w:rsid w:val="02B848E1"/>
    <w:rsid w:val="02C12942"/>
    <w:rsid w:val="02C27538"/>
    <w:rsid w:val="02CB42F3"/>
    <w:rsid w:val="02CF36E5"/>
    <w:rsid w:val="02D95A87"/>
    <w:rsid w:val="02EB1A31"/>
    <w:rsid w:val="0306050F"/>
    <w:rsid w:val="03106189"/>
    <w:rsid w:val="0311359D"/>
    <w:rsid w:val="033A2E6B"/>
    <w:rsid w:val="034B7E2A"/>
    <w:rsid w:val="034D5AD2"/>
    <w:rsid w:val="036E3564"/>
    <w:rsid w:val="038C096F"/>
    <w:rsid w:val="03B25D92"/>
    <w:rsid w:val="03B73C22"/>
    <w:rsid w:val="03C668C6"/>
    <w:rsid w:val="03C85365"/>
    <w:rsid w:val="03D171A7"/>
    <w:rsid w:val="03DE7512"/>
    <w:rsid w:val="040E4833"/>
    <w:rsid w:val="042767DF"/>
    <w:rsid w:val="042F1002"/>
    <w:rsid w:val="04447C19"/>
    <w:rsid w:val="0469222B"/>
    <w:rsid w:val="04B85375"/>
    <w:rsid w:val="04D06C6A"/>
    <w:rsid w:val="04E954F9"/>
    <w:rsid w:val="05017AD5"/>
    <w:rsid w:val="056061D9"/>
    <w:rsid w:val="060600E4"/>
    <w:rsid w:val="061864E1"/>
    <w:rsid w:val="06596714"/>
    <w:rsid w:val="066925E0"/>
    <w:rsid w:val="068706B2"/>
    <w:rsid w:val="0690732E"/>
    <w:rsid w:val="06A62D4B"/>
    <w:rsid w:val="06B85D3A"/>
    <w:rsid w:val="06C1129A"/>
    <w:rsid w:val="06D767B9"/>
    <w:rsid w:val="06F75158"/>
    <w:rsid w:val="072128B2"/>
    <w:rsid w:val="07255EF2"/>
    <w:rsid w:val="072C4FF3"/>
    <w:rsid w:val="07811C6E"/>
    <w:rsid w:val="079129AF"/>
    <w:rsid w:val="07AA5731"/>
    <w:rsid w:val="07D715B0"/>
    <w:rsid w:val="07DB5232"/>
    <w:rsid w:val="07E07F23"/>
    <w:rsid w:val="08082590"/>
    <w:rsid w:val="08121FA5"/>
    <w:rsid w:val="081656F0"/>
    <w:rsid w:val="08402E48"/>
    <w:rsid w:val="08436133"/>
    <w:rsid w:val="086B53B3"/>
    <w:rsid w:val="08B30835"/>
    <w:rsid w:val="097A79B2"/>
    <w:rsid w:val="0981160A"/>
    <w:rsid w:val="099A68E9"/>
    <w:rsid w:val="099B4FAC"/>
    <w:rsid w:val="099D6284"/>
    <w:rsid w:val="09A64982"/>
    <w:rsid w:val="09BA7E4D"/>
    <w:rsid w:val="09CA74D8"/>
    <w:rsid w:val="09CD14E3"/>
    <w:rsid w:val="09F41544"/>
    <w:rsid w:val="0A085DE9"/>
    <w:rsid w:val="0A1039CB"/>
    <w:rsid w:val="0A130914"/>
    <w:rsid w:val="0A284254"/>
    <w:rsid w:val="0A29594B"/>
    <w:rsid w:val="0A5209CD"/>
    <w:rsid w:val="0A5A0CCD"/>
    <w:rsid w:val="0A5E0EA1"/>
    <w:rsid w:val="0A80040A"/>
    <w:rsid w:val="0A99506A"/>
    <w:rsid w:val="0A9A0346"/>
    <w:rsid w:val="0AA93573"/>
    <w:rsid w:val="0B1E4124"/>
    <w:rsid w:val="0B78474A"/>
    <w:rsid w:val="0B816734"/>
    <w:rsid w:val="0B86152C"/>
    <w:rsid w:val="0B8F1D90"/>
    <w:rsid w:val="0B932E1A"/>
    <w:rsid w:val="0B9E0B65"/>
    <w:rsid w:val="0BB35673"/>
    <w:rsid w:val="0BC062F3"/>
    <w:rsid w:val="0BD5571C"/>
    <w:rsid w:val="0BFD0200"/>
    <w:rsid w:val="0C0D744B"/>
    <w:rsid w:val="0C171831"/>
    <w:rsid w:val="0C29592D"/>
    <w:rsid w:val="0C2A45C2"/>
    <w:rsid w:val="0C364FF6"/>
    <w:rsid w:val="0C591714"/>
    <w:rsid w:val="0C6319F4"/>
    <w:rsid w:val="0CAD030C"/>
    <w:rsid w:val="0CCC39BF"/>
    <w:rsid w:val="0CF70FFC"/>
    <w:rsid w:val="0D217655"/>
    <w:rsid w:val="0D4929F5"/>
    <w:rsid w:val="0D725A54"/>
    <w:rsid w:val="0DA0210B"/>
    <w:rsid w:val="0DA9162B"/>
    <w:rsid w:val="0DC74100"/>
    <w:rsid w:val="0DCA01E4"/>
    <w:rsid w:val="0DCB1A41"/>
    <w:rsid w:val="0DCF0E06"/>
    <w:rsid w:val="0DED3021"/>
    <w:rsid w:val="0DF57CAB"/>
    <w:rsid w:val="0DF76BBE"/>
    <w:rsid w:val="0DFE6F81"/>
    <w:rsid w:val="0E4004C4"/>
    <w:rsid w:val="0E605432"/>
    <w:rsid w:val="0E7273F9"/>
    <w:rsid w:val="0E74166D"/>
    <w:rsid w:val="0EBE79F1"/>
    <w:rsid w:val="0ECB52EB"/>
    <w:rsid w:val="0EF67F78"/>
    <w:rsid w:val="0F0E0560"/>
    <w:rsid w:val="0F2135FB"/>
    <w:rsid w:val="0F46327A"/>
    <w:rsid w:val="0F636724"/>
    <w:rsid w:val="0F804C8D"/>
    <w:rsid w:val="0F99055C"/>
    <w:rsid w:val="0FD41D74"/>
    <w:rsid w:val="0FD60E0E"/>
    <w:rsid w:val="0FDB71CE"/>
    <w:rsid w:val="0FE353A5"/>
    <w:rsid w:val="0FFE0A7D"/>
    <w:rsid w:val="10141E63"/>
    <w:rsid w:val="102B5703"/>
    <w:rsid w:val="105D13C1"/>
    <w:rsid w:val="10622DB3"/>
    <w:rsid w:val="1072065C"/>
    <w:rsid w:val="109229E1"/>
    <w:rsid w:val="10AA5148"/>
    <w:rsid w:val="10B14313"/>
    <w:rsid w:val="10B776CF"/>
    <w:rsid w:val="10DB0B79"/>
    <w:rsid w:val="10E3136C"/>
    <w:rsid w:val="10E9119E"/>
    <w:rsid w:val="1136212B"/>
    <w:rsid w:val="11430F3D"/>
    <w:rsid w:val="114617FE"/>
    <w:rsid w:val="114F61FD"/>
    <w:rsid w:val="117441B4"/>
    <w:rsid w:val="117654D0"/>
    <w:rsid w:val="11835746"/>
    <w:rsid w:val="11C56239"/>
    <w:rsid w:val="11D972EE"/>
    <w:rsid w:val="11DF4BC9"/>
    <w:rsid w:val="11EC0A21"/>
    <w:rsid w:val="120F6364"/>
    <w:rsid w:val="12155A83"/>
    <w:rsid w:val="123922F2"/>
    <w:rsid w:val="124B4E7F"/>
    <w:rsid w:val="125D4725"/>
    <w:rsid w:val="126E7AEF"/>
    <w:rsid w:val="12772E0E"/>
    <w:rsid w:val="12941708"/>
    <w:rsid w:val="12AB6784"/>
    <w:rsid w:val="12BB6307"/>
    <w:rsid w:val="12C044FB"/>
    <w:rsid w:val="12DE2AC4"/>
    <w:rsid w:val="13123FB4"/>
    <w:rsid w:val="13175AAD"/>
    <w:rsid w:val="132B4D96"/>
    <w:rsid w:val="132E115C"/>
    <w:rsid w:val="1347637A"/>
    <w:rsid w:val="13580386"/>
    <w:rsid w:val="137C5099"/>
    <w:rsid w:val="138F4312"/>
    <w:rsid w:val="13B50BBE"/>
    <w:rsid w:val="13DC2552"/>
    <w:rsid w:val="13F60D64"/>
    <w:rsid w:val="13F94A62"/>
    <w:rsid w:val="13FF1337"/>
    <w:rsid w:val="14112A54"/>
    <w:rsid w:val="14323EFF"/>
    <w:rsid w:val="1447708B"/>
    <w:rsid w:val="14521987"/>
    <w:rsid w:val="146F1C00"/>
    <w:rsid w:val="14833DFA"/>
    <w:rsid w:val="14DD589F"/>
    <w:rsid w:val="14E36748"/>
    <w:rsid w:val="15024469"/>
    <w:rsid w:val="15306F04"/>
    <w:rsid w:val="153A0909"/>
    <w:rsid w:val="15437904"/>
    <w:rsid w:val="15440AA4"/>
    <w:rsid w:val="15503B82"/>
    <w:rsid w:val="15517DA3"/>
    <w:rsid w:val="159867EE"/>
    <w:rsid w:val="15CB01DE"/>
    <w:rsid w:val="15CE0771"/>
    <w:rsid w:val="15E36279"/>
    <w:rsid w:val="15EB7C21"/>
    <w:rsid w:val="15F81A35"/>
    <w:rsid w:val="16121AE7"/>
    <w:rsid w:val="166E7743"/>
    <w:rsid w:val="1681384E"/>
    <w:rsid w:val="16A24FA0"/>
    <w:rsid w:val="16B70D4C"/>
    <w:rsid w:val="16BC7547"/>
    <w:rsid w:val="16BE2023"/>
    <w:rsid w:val="16C42867"/>
    <w:rsid w:val="16D24F89"/>
    <w:rsid w:val="16E756B9"/>
    <w:rsid w:val="16FA4184"/>
    <w:rsid w:val="170C14B3"/>
    <w:rsid w:val="172100AA"/>
    <w:rsid w:val="17433979"/>
    <w:rsid w:val="1768135A"/>
    <w:rsid w:val="177C0766"/>
    <w:rsid w:val="17B34E39"/>
    <w:rsid w:val="17BE3D27"/>
    <w:rsid w:val="17C51AC9"/>
    <w:rsid w:val="17CB4230"/>
    <w:rsid w:val="17E04D27"/>
    <w:rsid w:val="17FC57FD"/>
    <w:rsid w:val="183D3562"/>
    <w:rsid w:val="18465126"/>
    <w:rsid w:val="187D7A13"/>
    <w:rsid w:val="188B2739"/>
    <w:rsid w:val="189429C4"/>
    <w:rsid w:val="18D844AF"/>
    <w:rsid w:val="18E87A5D"/>
    <w:rsid w:val="19080A5A"/>
    <w:rsid w:val="190B0D87"/>
    <w:rsid w:val="195651BA"/>
    <w:rsid w:val="198F45DD"/>
    <w:rsid w:val="19B16007"/>
    <w:rsid w:val="19B376C2"/>
    <w:rsid w:val="1A0A0B65"/>
    <w:rsid w:val="1A107C4B"/>
    <w:rsid w:val="1A33603E"/>
    <w:rsid w:val="1A3C12B5"/>
    <w:rsid w:val="1A7C1967"/>
    <w:rsid w:val="1AA26902"/>
    <w:rsid w:val="1AB00207"/>
    <w:rsid w:val="1ABE7D37"/>
    <w:rsid w:val="1AC1475C"/>
    <w:rsid w:val="1AE20785"/>
    <w:rsid w:val="1B0C0AEB"/>
    <w:rsid w:val="1B1073A7"/>
    <w:rsid w:val="1B1B27AF"/>
    <w:rsid w:val="1B364410"/>
    <w:rsid w:val="1B423F92"/>
    <w:rsid w:val="1B4E7AE0"/>
    <w:rsid w:val="1B52216C"/>
    <w:rsid w:val="1B9C1B7E"/>
    <w:rsid w:val="1B9F505C"/>
    <w:rsid w:val="1C0C5572"/>
    <w:rsid w:val="1C0E6C08"/>
    <w:rsid w:val="1C1037DD"/>
    <w:rsid w:val="1C114AF8"/>
    <w:rsid w:val="1C1B1B82"/>
    <w:rsid w:val="1C215368"/>
    <w:rsid w:val="1C496310"/>
    <w:rsid w:val="1C4F2D2B"/>
    <w:rsid w:val="1C530FFF"/>
    <w:rsid w:val="1C534BE9"/>
    <w:rsid w:val="1C5D4224"/>
    <w:rsid w:val="1C6617F4"/>
    <w:rsid w:val="1C7A1A02"/>
    <w:rsid w:val="1C851CB2"/>
    <w:rsid w:val="1CA42BA9"/>
    <w:rsid w:val="1CC649DE"/>
    <w:rsid w:val="1CF12077"/>
    <w:rsid w:val="1D1E580F"/>
    <w:rsid w:val="1D36177F"/>
    <w:rsid w:val="1D3F112C"/>
    <w:rsid w:val="1D537710"/>
    <w:rsid w:val="1D5A73FE"/>
    <w:rsid w:val="1D7E6CBA"/>
    <w:rsid w:val="1D815C8A"/>
    <w:rsid w:val="1DA8154B"/>
    <w:rsid w:val="1DDB5D08"/>
    <w:rsid w:val="1DEC7688"/>
    <w:rsid w:val="1E2F6AB6"/>
    <w:rsid w:val="1E351ACB"/>
    <w:rsid w:val="1E5A6922"/>
    <w:rsid w:val="1E6F3B06"/>
    <w:rsid w:val="1E7B2BA0"/>
    <w:rsid w:val="1E844BA6"/>
    <w:rsid w:val="1E8B087E"/>
    <w:rsid w:val="1EA36749"/>
    <w:rsid w:val="1EFB1085"/>
    <w:rsid w:val="1F0704DB"/>
    <w:rsid w:val="1F0A34ED"/>
    <w:rsid w:val="1F3D2A51"/>
    <w:rsid w:val="1F3E3733"/>
    <w:rsid w:val="1F4F1CE0"/>
    <w:rsid w:val="1F5D0F87"/>
    <w:rsid w:val="1F5E4FF4"/>
    <w:rsid w:val="1F7F1019"/>
    <w:rsid w:val="1F9675F9"/>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1056ADC"/>
    <w:rsid w:val="216D33DF"/>
    <w:rsid w:val="2174526F"/>
    <w:rsid w:val="21AB2478"/>
    <w:rsid w:val="21C65751"/>
    <w:rsid w:val="21C65F78"/>
    <w:rsid w:val="21CA08CD"/>
    <w:rsid w:val="21E23CAE"/>
    <w:rsid w:val="21E4254B"/>
    <w:rsid w:val="221402CD"/>
    <w:rsid w:val="22296B50"/>
    <w:rsid w:val="224D2EBB"/>
    <w:rsid w:val="228D35FF"/>
    <w:rsid w:val="22A129F3"/>
    <w:rsid w:val="22AD3403"/>
    <w:rsid w:val="22CE1F32"/>
    <w:rsid w:val="22D61FCE"/>
    <w:rsid w:val="22FC0047"/>
    <w:rsid w:val="234B62FA"/>
    <w:rsid w:val="23626D62"/>
    <w:rsid w:val="236540A8"/>
    <w:rsid w:val="236805B4"/>
    <w:rsid w:val="237960DC"/>
    <w:rsid w:val="23A15217"/>
    <w:rsid w:val="23AD60D7"/>
    <w:rsid w:val="23BA4644"/>
    <w:rsid w:val="23C12F43"/>
    <w:rsid w:val="2449252E"/>
    <w:rsid w:val="245743B5"/>
    <w:rsid w:val="247373FE"/>
    <w:rsid w:val="247513E0"/>
    <w:rsid w:val="24754273"/>
    <w:rsid w:val="24850182"/>
    <w:rsid w:val="24C347B8"/>
    <w:rsid w:val="24C36057"/>
    <w:rsid w:val="24CD4542"/>
    <w:rsid w:val="24D407A5"/>
    <w:rsid w:val="24E866F5"/>
    <w:rsid w:val="24F6588D"/>
    <w:rsid w:val="24FB3768"/>
    <w:rsid w:val="250E42C9"/>
    <w:rsid w:val="251657BB"/>
    <w:rsid w:val="25B81417"/>
    <w:rsid w:val="25BB704A"/>
    <w:rsid w:val="25F72382"/>
    <w:rsid w:val="25FE407C"/>
    <w:rsid w:val="262E368F"/>
    <w:rsid w:val="26337CF9"/>
    <w:rsid w:val="263B1095"/>
    <w:rsid w:val="263D7BD2"/>
    <w:rsid w:val="26434C04"/>
    <w:rsid w:val="264A7883"/>
    <w:rsid w:val="2679158C"/>
    <w:rsid w:val="26894387"/>
    <w:rsid w:val="26AE7FB2"/>
    <w:rsid w:val="26B13D23"/>
    <w:rsid w:val="26D21836"/>
    <w:rsid w:val="26D4632B"/>
    <w:rsid w:val="26DF0CF8"/>
    <w:rsid w:val="271151F4"/>
    <w:rsid w:val="275003D3"/>
    <w:rsid w:val="275470A4"/>
    <w:rsid w:val="275F771B"/>
    <w:rsid w:val="27B3313C"/>
    <w:rsid w:val="27C3024D"/>
    <w:rsid w:val="27C719BF"/>
    <w:rsid w:val="27FB14E9"/>
    <w:rsid w:val="27FF4502"/>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64877"/>
    <w:rsid w:val="29216FE3"/>
    <w:rsid w:val="292D3D2F"/>
    <w:rsid w:val="293E5E83"/>
    <w:rsid w:val="29654FEE"/>
    <w:rsid w:val="296A2671"/>
    <w:rsid w:val="297705CE"/>
    <w:rsid w:val="29816018"/>
    <w:rsid w:val="29937C67"/>
    <w:rsid w:val="29C36304"/>
    <w:rsid w:val="29F06DAE"/>
    <w:rsid w:val="29F2441B"/>
    <w:rsid w:val="2A12193D"/>
    <w:rsid w:val="2A1C742C"/>
    <w:rsid w:val="2A394A8C"/>
    <w:rsid w:val="2A3974AA"/>
    <w:rsid w:val="2A4F20CE"/>
    <w:rsid w:val="2A714F67"/>
    <w:rsid w:val="2AD7710A"/>
    <w:rsid w:val="2ADA009F"/>
    <w:rsid w:val="2AE06BC0"/>
    <w:rsid w:val="2AE33FB8"/>
    <w:rsid w:val="2AEB310F"/>
    <w:rsid w:val="2B0428DA"/>
    <w:rsid w:val="2B09698D"/>
    <w:rsid w:val="2B1C530D"/>
    <w:rsid w:val="2B524068"/>
    <w:rsid w:val="2B5C01FD"/>
    <w:rsid w:val="2B5F7CC9"/>
    <w:rsid w:val="2B7111A7"/>
    <w:rsid w:val="2B902874"/>
    <w:rsid w:val="2B9E2D01"/>
    <w:rsid w:val="2BB52FB9"/>
    <w:rsid w:val="2BBD31DA"/>
    <w:rsid w:val="2BC44501"/>
    <w:rsid w:val="2BE0439F"/>
    <w:rsid w:val="2BEC7D02"/>
    <w:rsid w:val="2BFD1F4E"/>
    <w:rsid w:val="2C283BC8"/>
    <w:rsid w:val="2C2A6227"/>
    <w:rsid w:val="2C3459DF"/>
    <w:rsid w:val="2C380D85"/>
    <w:rsid w:val="2C4E5F13"/>
    <w:rsid w:val="2C693C27"/>
    <w:rsid w:val="2C82391A"/>
    <w:rsid w:val="2CA84B75"/>
    <w:rsid w:val="2CD42D7E"/>
    <w:rsid w:val="2CED035D"/>
    <w:rsid w:val="2CF5031E"/>
    <w:rsid w:val="2D093C9F"/>
    <w:rsid w:val="2D3B7916"/>
    <w:rsid w:val="2D3C3CD7"/>
    <w:rsid w:val="2D4B4DCC"/>
    <w:rsid w:val="2DA35B4E"/>
    <w:rsid w:val="2DB600C3"/>
    <w:rsid w:val="2DBB0D4A"/>
    <w:rsid w:val="2DC33633"/>
    <w:rsid w:val="2DE87A40"/>
    <w:rsid w:val="2E173F56"/>
    <w:rsid w:val="2E29079C"/>
    <w:rsid w:val="2E324106"/>
    <w:rsid w:val="2E380012"/>
    <w:rsid w:val="2E48670E"/>
    <w:rsid w:val="2E6C00D1"/>
    <w:rsid w:val="2E6C5330"/>
    <w:rsid w:val="2E6F6F4B"/>
    <w:rsid w:val="2E9D2F33"/>
    <w:rsid w:val="2EA5491E"/>
    <w:rsid w:val="2EB61323"/>
    <w:rsid w:val="2EB9185C"/>
    <w:rsid w:val="2ED315FA"/>
    <w:rsid w:val="2EDA4865"/>
    <w:rsid w:val="2EF2578E"/>
    <w:rsid w:val="2F086F58"/>
    <w:rsid w:val="2F341996"/>
    <w:rsid w:val="2F4128D8"/>
    <w:rsid w:val="2F77429A"/>
    <w:rsid w:val="2F8A5EE1"/>
    <w:rsid w:val="2FA76387"/>
    <w:rsid w:val="2FA97745"/>
    <w:rsid w:val="2FAC5FF8"/>
    <w:rsid w:val="2FC163A1"/>
    <w:rsid w:val="2FE333E0"/>
    <w:rsid w:val="30093A7F"/>
    <w:rsid w:val="30101312"/>
    <w:rsid w:val="301D2421"/>
    <w:rsid w:val="30367EDF"/>
    <w:rsid w:val="30461C7C"/>
    <w:rsid w:val="304A4945"/>
    <w:rsid w:val="3058440F"/>
    <w:rsid w:val="30A81898"/>
    <w:rsid w:val="30C1634B"/>
    <w:rsid w:val="30D01C69"/>
    <w:rsid w:val="30D45C62"/>
    <w:rsid w:val="30DA4C77"/>
    <w:rsid w:val="30EC4B0C"/>
    <w:rsid w:val="30ED594E"/>
    <w:rsid w:val="30F53179"/>
    <w:rsid w:val="30F676E5"/>
    <w:rsid w:val="30FA69AD"/>
    <w:rsid w:val="310543F4"/>
    <w:rsid w:val="311F4616"/>
    <w:rsid w:val="3129011E"/>
    <w:rsid w:val="312C0CAE"/>
    <w:rsid w:val="315B0AD4"/>
    <w:rsid w:val="315F46A2"/>
    <w:rsid w:val="31997FEC"/>
    <w:rsid w:val="319B0A90"/>
    <w:rsid w:val="31A506BA"/>
    <w:rsid w:val="31AF13C3"/>
    <w:rsid w:val="31BC417F"/>
    <w:rsid w:val="31D76CFA"/>
    <w:rsid w:val="3203368C"/>
    <w:rsid w:val="32035324"/>
    <w:rsid w:val="320A36C1"/>
    <w:rsid w:val="322915EE"/>
    <w:rsid w:val="322A00D0"/>
    <w:rsid w:val="32354210"/>
    <w:rsid w:val="323D35EB"/>
    <w:rsid w:val="3259367F"/>
    <w:rsid w:val="32606F60"/>
    <w:rsid w:val="326A4DA1"/>
    <w:rsid w:val="326E6892"/>
    <w:rsid w:val="327C2DDA"/>
    <w:rsid w:val="32CE243A"/>
    <w:rsid w:val="32DC04F7"/>
    <w:rsid w:val="32DC3A5A"/>
    <w:rsid w:val="32EC5D4C"/>
    <w:rsid w:val="336E3117"/>
    <w:rsid w:val="3374391F"/>
    <w:rsid w:val="33774D25"/>
    <w:rsid w:val="33916233"/>
    <w:rsid w:val="33965837"/>
    <w:rsid w:val="33AA50E6"/>
    <w:rsid w:val="33B43DDB"/>
    <w:rsid w:val="33BE1C24"/>
    <w:rsid w:val="33C662A1"/>
    <w:rsid w:val="341D3E0C"/>
    <w:rsid w:val="3435779D"/>
    <w:rsid w:val="34443420"/>
    <w:rsid w:val="34506492"/>
    <w:rsid w:val="34561EE4"/>
    <w:rsid w:val="346517CC"/>
    <w:rsid w:val="348C273F"/>
    <w:rsid w:val="34942631"/>
    <w:rsid w:val="34A47250"/>
    <w:rsid w:val="34B97D57"/>
    <w:rsid w:val="34C31F31"/>
    <w:rsid w:val="34D25A25"/>
    <w:rsid w:val="3522430E"/>
    <w:rsid w:val="352E0F08"/>
    <w:rsid w:val="354B6D1C"/>
    <w:rsid w:val="35A21866"/>
    <w:rsid w:val="35C16883"/>
    <w:rsid w:val="35DE6C72"/>
    <w:rsid w:val="35F43BC7"/>
    <w:rsid w:val="35F72C7E"/>
    <w:rsid w:val="35FF1ADE"/>
    <w:rsid w:val="360258DD"/>
    <w:rsid w:val="361A4245"/>
    <w:rsid w:val="36416C25"/>
    <w:rsid w:val="3643680D"/>
    <w:rsid w:val="365E6D3E"/>
    <w:rsid w:val="366C1501"/>
    <w:rsid w:val="366C38E5"/>
    <w:rsid w:val="36A4320C"/>
    <w:rsid w:val="36D53214"/>
    <w:rsid w:val="36E771D1"/>
    <w:rsid w:val="36FC51F7"/>
    <w:rsid w:val="37265658"/>
    <w:rsid w:val="372B16AC"/>
    <w:rsid w:val="378D3916"/>
    <w:rsid w:val="37B72410"/>
    <w:rsid w:val="37DB52A8"/>
    <w:rsid w:val="37E272A3"/>
    <w:rsid w:val="37F95AB0"/>
    <w:rsid w:val="38570608"/>
    <w:rsid w:val="38606F87"/>
    <w:rsid w:val="389319E2"/>
    <w:rsid w:val="38AD2A2D"/>
    <w:rsid w:val="38D42B29"/>
    <w:rsid w:val="38D830AC"/>
    <w:rsid w:val="38FC0D9E"/>
    <w:rsid w:val="38FD1938"/>
    <w:rsid w:val="39011B8F"/>
    <w:rsid w:val="391D11DA"/>
    <w:rsid w:val="39213D18"/>
    <w:rsid w:val="39315B32"/>
    <w:rsid w:val="393D078B"/>
    <w:rsid w:val="39483619"/>
    <w:rsid w:val="398F207C"/>
    <w:rsid w:val="39C25C15"/>
    <w:rsid w:val="39E87631"/>
    <w:rsid w:val="3A2071EB"/>
    <w:rsid w:val="3A347336"/>
    <w:rsid w:val="3A466880"/>
    <w:rsid w:val="3A6D38A3"/>
    <w:rsid w:val="3A7D46D4"/>
    <w:rsid w:val="3A8379EE"/>
    <w:rsid w:val="3A867E60"/>
    <w:rsid w:val="3A9E48B4"/>
    <w:rsid w:val="3AAA1E14"/>
    <w:rsid w:val="3AD64AB8"/>
    <w:rsid w:val="3AEC210E"/>
    <w:rsid w:val="3B012EC5"/>
    <w:rsid w:val="3B0555C5"/>
    <w:rsid w:val="3B0C3BD9"/>
    <w:rsid w:val="3B233B40"/>
    <w:rsid w:val="3B313BEC"/>
    <w:rsid w:val="3B3165C4"/>
    <w:rsid w:val="3B6B0E42"/>
    <w:rsid w:val="3B8B4B46"/>
    <w:rsid w:val="3BA751CD"/>
    <w:rsid w:val="3BC47ACE"/>
    <w:rsid w:val="3BE15BDA"/>
    <w:rsid w:val="3BF936A1"/>
    <w:rsid w:val="3C0507A7"/>
    <w:rsid w:val="3C3D72C4"/>
    <w:rsid w:val="3C512A11"/>
    <w:rsid w:val="3C8730DE"/>
    <w:rsid w:val="3C8B2C9C"/>
    <w:rsid w:val="3C983BA7"/>
    <w:rsid w:val="3CA712CF"/>
    <w:rsid w:val="3CB357B6"/>
    <w:rsid w:val="3CC5214A"/>
    <w:rsid w:val="3CD33016"/>
    <w:rsid w:val="3CE1131C"/>
    <w:rsid w:val="3D0172FC"/>
    <w:rsid w:val="3D0270BA"/>
    <w:rsid w:val="3D035EB2"/>
    <w:rsid w:val="3D18140B"/>
    <w:rsid w:val="3D385902"/>
    <w:rsid w:val="3D8936B1"/>
    <w:rsid w:val="3D8F09F2"/>
    <w:rsid w:val="3DAD6357"/>
    <w:rsid w:val="3DB0478A"/>
    <w:rsid w:val="3DB957C4"/>
    <w:rsid w:val="3DC13DCB"/>
    <w:rsid w:val="3DE9747B"/>
    <w:rsid w:val="3DFB0D91"/>
    <w:rsid w:val="3DFE5721"/>
    <w:rsid w:val="3F076CE1"/>
    <w:rsid w:val="3F2A4F31"/>
    <w:rsid w:val="3F334234"/>
    <w:rsid w:val="3F406969"/>
    <w:rsid w:val="3F4D5B04"/>
    <w:rsid w:val="3F731EBD"/>
    <w:rsid w:val="3FA028F1"/>
    <w:rsid w:val="3FA21865"/>
    <w:rsid w:val="3FC43592"/>
    <w:rsid w:val="3FCA54FF"/>
    <w:rsid w:val="3FD21541"/>
    <w:rsid w:val="3FDB75E6"/>
    <w:rsid w:val="3FE90EBF"/>
    <w:rsid w:val="40053AEF"/>
    <w:rsid w:val="40461109"/>
    <w:rsid w:val="405A5EA8"/>
    <w:rsid w:val="405C573F"/>
    <w:rsid w:val="406B2D42"/>
    <w:rsid w:val="406B5A51"/>
    <w:rsid w:val="406F7959"/>
    <w:rsid w:val="407A71C4"/>
    <w:rsid w:val="4084317D"/>
    <w:rsid w:val="408E45EF"/>
    <w:rsid w:val="40A73E9C"/>
    <w:rsid w:val="40B1111B"/>
    <w:rsid w:val="40C8546D"/>
    <w:rsid w:val="40E83FEB"/>
    <w:rsid w:val="40ED2B6D"/>
    <w:rsid w:val="41006BCE"/>
    <w:rsid w:val="4106726F"/>
    <w:rsid w:val="41245CF6"/>
    <w:rsid w:val="413A5B26"/>
    <w:rsid w:val="41451745"/>
    <w:rsid w:val="41513AB9"/>
    <w:rsid w:val="419068A2"/>
    <w:rsid w:val="4192041B"/>
    <w:rsid w:val="41A50E7A"/>
    <w:rsid w:val="41BD02EC"/>
    <w:rsid w:val="41D3372D"/>
    <w:rsid w:val="4206161A"/>
    <w:rsid w:val="42185649"/>
    <w:rsid w:val="42313309"/>
    <w:rsid w:val="424E280C"/>
    <w:rsid w:val="42761480"/>
    <w:rsid w:val="428201C1"/>
    <w:rsid w:val="428E18E9"/>
    <w:rsid w:val="42910D65"/>
    <w:rsid w:val="429E3367"/>
    <w:rsid w:val="42AE254C"/>
    <w:rsid w:val="42B30F83"/>
    <w:rsid w:val="43317692"/>
    <w:rsid w:val="437264FC"/>
    <w:rsid w:val="43937CF8"/>
    <w:rsid w:val="439D11D5"/>
    <w:rsid w:val="43A632D7"/>
    <w:rsid w:val="43B70849"/>
    <w:rsid w:val="43BF6DF4"/>
    <w:rsid w:val="43D21251"/>
    <w:rsid w:val="43F15ABD"/>
    <w:rsid w:val="43FC7EC1"/>
    <w:rsid w:val="443505A1"/>
    <w:rsid w:val="44570FDE"/>
    <w:rsid w:val="4462219F"/>
    <w:rsid w:val="44691C85"/>
    <w:rsid w:val="447D1309"/>
    <w:rsid w:val="44A14B75"/>
    <w:rsid w:val="44B67F46"/>
    <w:rsid w:val="44C21817"/>
    <w:rsid w:val="44D52BDC"/>
    <w:rsid w:val="44D65004"/>
    <w:rsid w:val="45872EEA"/>
    <w:rsid w:val="45A6275B"/>
    <w:rsid w:val="46114315"/>
    <w:rsid w:val="46261E01"/>
    <w:rsid w:val="4628533B"/>
    <w:rsid w:val="462B3736"/>
    <w:rsid w:val="463150DD"/>
    <w:rsid w:val="464F4194"/>
    <w:rsid w:val="46556D3A"/>
    <w:rsid w:val="468E7879"/>
    <w:rsid w:val="46A27788"/>
    <w:rsid w:val="46AD6449"/>
    <w:rsid w:val="46B80972"/>
    <w:rsid w:val="46BE085D"/>
    <w:rsid w:val="46CD27B0"/>
    <w:rsid w:val="46E52D55"/>
    <w:rsid w:val="470A789B"/>
    <w:rsid w:val="47757A1F"/>
    <w:rsid w:val="47BF2FE6"/>
    <w:rsid w:val="48084996"/>
    <w:rsid w:val="482800B2"/>
    <w:rsid w:val="48363D2A"/>
    <w:rsid w:val="487D7356"/>
    <w:rsid w:val="48807270"/>
    <w:rsid w:val="48CD0520"/>
    <w:rsid w:val="49315E6A"/>
    <w:rsid w:val="49370485"/>
    <w:rsid w:val="49410765"/>
    <w:rsid w:val="49502655"/>
    <w:rsid w:val="49507BE5"/>
    <w:rsid w:val="498440C7"/>
    <w:rsid w:val="49995655"/>
    <w:rsid w:val="49AD07BA"/>
    <w:rsid w:val="49C4760B"/>
    <w:rsid w:val="4A056D29"/>
    <w:rsid w:val="4A2328EA"/>
    <w:rsid w:val="4A6D15B3"/>
    <w:rsid w:val="4AA5779F"/>
    <w:rsid w:val="4ADB3001"/>
    <w:rsid w:val="4B0A7ACA"/>
    <w:rsid w:val="4B1701F7"/>
    <w:rsid w:val="4B341871"/>
    <w:rsid w:val="4B573495"/>
    <w:rsid w:val="4B5A3F42"/>
    <w:rsid w:val="4B79775E"/>
    <w:rsid w:val="4B801B9C"/>
    <w:rsid w:val="4B8668DB"/>
    <w:rsid w:val="4BB66E44"/>
    <w:rsid w:val="4BCB580F"/>
    <w:rsid w:val="4BD923A6"/>
    <w:rsid w:val="4BDF40A9"/>
    <w:rsid w:val="4BE61521"/>
    <w:rsid w:val="4BE947DF"/>
    <w:rsid w:val="4C02716A"/>
    <w:rsid w:val="4C1740E5"/>
    <w:rsid w:val="4C1D24E0"/>
    <w:rsid w:val="4C2653D5"/>
    <w:rsid w:val="4C646927"/>
    <w:rsid w:val="4C6F0363"/>
    <w:rsid w:val="4D064DC8"/>
    <w:rsid w:val="4D074F17"/>
    <w:rsid w:val="4D15209E"/>
    <w:rsid w:val="4D347ED8"/>
    <w:rsid w:val="4D4C0BA9"/>
    <w:rsid w:val="4D4C1002"/>
    <w:rsid w:val="4D6F1420"/>
    <w:rsid w:val="4D716000"/>
    <w:rsid w:val="4D774226"/>
    <w:rsid w:val="4DB04359"/>
    <w:rsid w:val="4DE93845"/>
    <w:rsid w:val="4DEA5501"/>
    <w:rsid w:val="4DF7667D"/>
    <w:rsid w:val="4E200125"/>
    <w:rsid w:val="4E236EE7"/>
    <w:rsid w:val="4E7B36E9"/>
    <w:rsid w:val="4EA74685"/>
    <w:rsid w:val="4ED4056B"/>
    <w:rsid w:val="4EE771E5"/>
    <w:rsid w:val="4EFD67D8"/>
    <w:rsid w:val="4F1D371F"/>
    <w:rsid w:val="4F3B31A2"/>
    <w:rsid w:val="4F4267B1"/>
    <w:rsid w:val="4F4B57AF"/>
    <w:rsid w:val="4F572D9B"/>
    <w:rsid w:val="4F667937"/>
    <w:rsid w:val="4F703A80"/>
    <w:rsid w:val="4F743A74"/>
    <w:rsid w:val="4F8D46D4"/>
    <w:rsid w:val="4F8F6452"/>
    <w:rsid w:val="4FA602A6"/>
    <w:rsid w:val="4FBA5219"/>
    <w:rsid w:val="4FC37AD4"/>
    <w:rsid w:val="4FC61082"/>
    <w:rsid w:val="501628A8"/>
    <w:rsid w:val="501A112A"/>
    <w:rsid w:val="50564DDA"/>
    <w:rsid w:val="506514BF"/>
    <w:rsid w:val="50666688"/>
    <w:rsid w:val="508354E8"/>
    <w:rsid w:val="508F75BD"/>
    <w:rsid w:val="50D85FFE"/>
    <w:rsid w:val="50DA2806"/>
    <w:rsid w:val="50E21BB2"/>
    <w:rsid w:val="50E7254D"/>
    <w:rsid w:val="50FC4636"/>
    <w:rsid w:val="51066D6E"/>
    <w:rsid w:val="51510776"/>
    <w:rsid w:val="51513E56"/>
    <w:rsid w:val="515A1CDE"/>
    <w:rsid w:val="515F5700"/>
    <w:rsid w:val="51650323"/>
    <w:rsid w:val="516758E1"/>
    <w:rsid w:val="51E178B3"/>
    <w:rsid w:val="51ED7CD0"/>
    <w:rsid w:val="52101944"/>
    <w:rsid w:val="522C75C4"/>
    <w:rsid w:val="5232277E"/>
    <w:rsid w:val="523315CA"/>
    <w:rsid w:val="52582D49"/>
    <w:rsid w:val="525B1F84"/>
    <w:rsid w:val="526651A4"/>
    <w:rsid w:val="526A12AF"/>
    <w:rsid w:val="526C1D2D"/>
    <w:rsid w:val="52F03CFA"/>
    <w:rsid w:val="52FB303E"/>
    <w:rsid w:val="5321588C"/>
    <w:rsid w:val="533D1B3D"/>
    <w:rsid w:val="533E38EB"/>
    <w:rsid w:val="535B1FD6"/>
    <w:rsid w:val="535E481A"/>
    <w:rsid w:val="5361721C"/>
    <w:rsid w:val="537A528C"/>
    <w:rsid w:val="538E441F"/>
    <w:rsid w:val="53A4211D"/>
    <w:rsid w:val="53D53DD7"/>
    <w:rsid w:val="53EE5615"/>
    <w:rsid w:val="54231631"/>
    <w:rsid w:val="5424586C"/>
    <w:rsid w:val="54377E46"/>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60770DA"/>
    <w:rsid w:val="561B16B1"/>
    <w:rsid w:val="56441C00"/>
    <w:rsid w:val="565C5CE0"/>
    <w:rsid w:val="56636EF2"/>
    <w:rsid w:val="5673129F"/>
    <w:rsid w:val="56882DA7"/>
    <w:rsid w:val="568833B6"/>
    <w:rsid w:val="56952067"/>
    <w:rsid w:val="56CC3F15"/>
    <w:rsid w:val="56F41F92"/>
    <w:rsid w:val="57121269"/>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C7C94"/>
    <w:rsid w:val="582C5235"/>
    <w:rsid w:val="583341E1"/>
    <w:rsid w:val="58371634"/>
    <w:rsid w:val="583B50EA"/>
    <w:rsid w:val="583E160B"/>
    <w:rsid w:val="589A414C"/>
    <w:rsid w:val="589C568B"/>
    <w:rsid w:val="58AB00D8"/>
    <w:rsid w:val="58B407AA"/>
    <w:rsid w:val="58C401AC"/>
    <w:rsid w:val="591C7ADE"/>
    <w:rsid w:val="591E17D0"/>
    <w:rsid w:val="59502C39"/>
    <w:rsid w:val="596C4A2A"/>
    <w:rsid w:val="5993415C"/>
    <w:rsid w:val="59A22083"/>
    <w:rsid w:val="59CB7C78"/>
    <w:rsid w:val="59D20B82"/>
    <w:rsid w:val="59D30871"/>
    <w:rsid w:val="59FF6944"/>
    <w:rsid w:val="5A315FC3"/>
    <w:rsid w:val="5A534DB5"/>
    <w:rsid w:val="5A5E7CEF"/>
    <w:rsid w:val="5A9F4265"/>
    <w:rsid w:val="5AC04993"/>
    <w:rsid w:val="5AC703B1"/>
    <w:rsid w:val="5AC712D6"/>
    <w:rsid w:val="5AC84D21"/>
    <w:rsid w:val="5ADB6FB9"/>
    <w:rsid w:val="5B026F17"/>
    <w:rsid w:val="5B20618B"/>
    <w:rsid w:val="5B5B4AAF"/>
    <w:rsid w:val="5B762549"/>
    <w:rsid w:val="5BA41CE8"/>
    <w:rsid w:val="5BAF2CF5"/>
    <w:rsid w:val="5BB721DA"/>
    <w:rsid w:val="5BC773EA"/>
    <w:rsid w:val="5BD02F8B"/>
    <w:rsid w:val="5BE744EF"/>
    <w:rsid w:val="5C173C1A"/>
    <w:rsid w:val="5C27435A"/>
    <w:rsid w:val="5C593289"/>
    <w:rsid w:val="5CA2296A"/>
    <w:rsid w:val="5CAF7510"/>
    <w:rsid w:val="5CCC426D"/>
    <w:rsid w:val="5CCC6F32"/>
    <w:rsid w:val="5CE50C89"/>
    <w:rsid w:val="5CE63B5B"/>
    <w:rsid w:val="5CF365AE"/>
    <w:rsid w:val="5D0513F5"/>
    <w:rsid w:val="5D0706D6"/>
    <w:rsid w:val="5D170CD5"/>
    <w:rsid w:val="5D1A5393"/>
    <w:rsid w:val="5D1E6ACF"/>
    <w:rsid w:val="5D4B32B3"/>
    <w:rsid w:val="5D570815"/>
    <w:rsid w:val="5D613FC9"/>
    <w:rsid w:val="5D7F0D1E"/>
    <w:rsid w:val="5D8F51FC"/>
    <w:rsid w:val="5DB14392"/>
    <w:rsid w:val="5DBD214F"/>
    <w:rsid w:val="5DE2255B"/>
    <w:rsid w:val="5DF9398D"/>
    <w:rsid w:val="5E095FD6"/>
    <w:rsid w:val="5E173997"/>
    <w:rsid w:val="5E181629"/>
    <w:rsid w:val="5E395BAE"/>
    <w:rsid w:val="5E507FB3"/>
    <w:rsid w:val="5E557642"/>
    <w:rsid w:val="5E5D258D"/>
    <w:rsid w:val="5E7334C3"/>
    <w:rsid w:val="5EA11811"/>
    <w:rsid w:val="5EA5212B"/>
    <w:rsid w:val="5EA67996"/>
    <w:rsid w:val="5ED07993"/>
    <w:rsid w:val="5F1E6369"/>
    <w:rsid w:val="5F1F5FAD"/>
    <w:rsid w:val="5F25133A"/>
    <w:rsid w:val="5F3F19E2"/>
    <w:rsid w:val="5F405CCF"/>
    <w:rsid w:val="5F456BB3"/>
    <w:rsid w:val="5F681BAB"/>
    <w:rsid w:val="5F6D4510"/>
    <w:rsid w:val="5F726C0E"/>
    <w:rsid w:val="5F7A458B"/>
    <w:rsid w:val="5FBB1EBF"/>
    <w:rsid w:val="5FCE51B0"/>
    <w:rsid w:val="603C092A"/>
    <w:rsid w:val="60401604"/>
    <w:rsid w:val="605D4823"/>
    <w:rsid w:val="60626619"/>
    <w:rsid w:val="60643C92"/>
    <w:rsid w:val="60A62C2A"/>
    <w:rsid w:val="60E174E9"/>
    <w:rsid w:val="60E75D3C"/>
    <w:rsid w:val="61415E1E"/>
    <w:rsid w:val="616D3845"/>
    <w:rsid w:val="619706BD"/>
    <w:rsid w:val="6197282A"/>
    <w:rsid w:val="61CA7DFC"/>
    <w:rsid w:val="61CA7F79"/>
    <w:rsid w:val="61D87B1B"/>
    <w:rsid w:val="61FF6957"/>
    <w:rsid w:val="6208426B"/>
    <w:rsid w:val="62095C8A"/>
    <w:rsid w:val="621C6FA7"/>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C267A"/>
    <w:rsid w:val="63E27E73"/>
    <w:rsid w:val="6403179D"/>
    <w:rsid w:val="640B59F5"/>
    <w:rsid w:val="643108F6"/>
    <w:rsid w:val="643F2780"/>
    <w:rsid w:val="64577857"/>
    <w:rsid w:val="64C76A7A"/>
    <w:rsid w:val="64C875FD"/>
    <w:rsid w:val="64CA19AF"/>
    <w:rsid w:val="64F05EEF"/>
    <w:rsid w:val="64F83A87"/>
    <w:rsid w:val="658E0306"/>
    <w:rsid w:val="6591582E"/>
    <w:rsid w:val="65CA6936"/>
    <w:rsid w:val="662846E8"/>
    <w:rsid w:val="662F3307"/>
    <w:rsid w:val="664B505E"/>
    <w:rsid w:val="665D09A0"/>
    <w:rsid w:val="665D146A"/>
    <w:rsid w:val="66694526"/>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BF2F7F"/>
    <w:rsid w:val="67E40FE2"/>
    <w:rsid w:val="67EC2A68"/>
    <w:rsid w:val="67F303BA"/>
    <w:rsid w:val="67FE4DA3"/>
    <w:rsid w:val="68176821"/>
    <w:rsid w:val="68356292"/>
    <w:rsid w:val="68357404"/>
    <w:rsid w:val="686167C2"/>
    <w:rsid w:val="68662DA1"/>
    <w:rsid w:val="68C107A0"/>
    <w:rsid w:val="68CF01B8"/>
    <w:rsid w:val="68DE1269"/>
    <w:rsid w:val="68E2188C"/>
    <w:rsid w:val="68E432F2"/>
    <w:rsid w:val="690A6585"/>
    <w:rsid w:val="692320B4"/>
    <w:rsid w:val="692772BA"/>
    <w:rsid w:val="69401501"/>
    <w:rsid w:val="6951732D"/>
    <w:rsid w:val="69531955"/>
    <w:rsid w:val="69545358"/>
    <w:rsid w:val="697D443E"/>
    <w:rsid w:val="698A76FD"/>
    <w:rsid w:val="69D31D91"/>
    <w:rsid w:val="69D54202"/>
    <w:rsid w:val="6A0113E4"/>
    <w:rsid w:val="6A080DE2"/>
    <w:rsid w:val="6A312737"/>
    <w:rsid w:val="6AD044C0"/>
    <w:rsid w:val="6AD5034D"/>
    <w:rsid w:val="6B294C84"/>
    <w:rsid w:val="6B406B9F"/>
    <w:rsid w:val="6B474827"/>
    <w:rsid w:val="6B587133"/>
    <w:rsid w:val="6B631FAE"/>
    <w:rsid w:val="6B7211DE"/>
    <w:rsid w:val="6BAC63E0"/>
    <w:rsid w:val="6BBF64CC"/>
    <w:rsid w:val="6BD67CA8"/>
    <w:rsid w:val="6BD7451C"/>
    <w:rsid w:val="6BE979C6"/>
    <w:rsid w:val="6C184A9B"/>
    <w:rsid w:val="6C3D21BC"/>
    <w:rsid w:val="6C804FCB"/>
    <w:rsid w:val="6CA2751B"/>
    <w:rsid w:val="6CA27D97"/>
    <w:rsid w:val="6CCC097C"/>
    <w:rsid w:val="6CD723CB"/>
    <w:rsid w:val="6CF40EAB"/>
    <w:rsid w:val="6D083860"/>
    <w:rsid w:val="6D1839B1"/>
    <w:rsid w:val="6D5020CC"/>
    <w:rsid w:val="6D5504D8"/>
    <w:rsid w:val="6DD247C3"/>
    <w:rsid w:val="6DDD0342"/>
    <w:rsid w:val="6DE727F2"/>
    <w:rsid w:val="6E211EC6"/>
    <w:rsid w:val="6E234302"/>
    <w:rsid w:val="6E33758F"/>
    <w:rsid w:val="6E655319"/>
    <w:rsid w:val="6E766A5F"/>
    <w:rsid w:val="6EA93624"/>
    <w:rsid w:val="6EC113A3"/>
    <w:rsid w:val="6ECE201A"/>
    <w:rsid w:val="6ECE4C80"/>
    <w:rsid w:val="6EE558A8"/>
    <w:rsid w:val="6F0C0585"/>
    <w:rsid w:val="6F1079AE"/>
    <w:rsid w:val="6F182133"/>
    <w:rsid w:val="6F3C1422"/>
    <w:rsid w:val="6F452D87"/>
    <w:rsid w:val="6F4F45DE"/>
    <w:rsid w:val="6F7B76F7"/>
    <w:rsid w:val="6FD02075"/>
    <w:rsid w:val="6FEE000B"/>
    <w:rsid w:val="70146A6A"/>
    <w:rsid w:val="701D287D"/>
    <w:rsid w:val="70322864"/>
    <w:rsid w:val="703B3BFC"/>
    <w:rsid w:val="70456902"/>
    <w:rsid w:val="705250E6"/>
    <w:rsid w:val="707F5B9B"/>
    <w:rsid w:val="70942EA5"/>
    <w:rsid w:val="70997CB9"/>
    <w:rsid w:val="70B63B79"/>
    <w:rsid w:val="70E9766E"/>
    <w:rsid w:val="71311DE8"/>
    <w:rsid w:val="713F47D5"/>
    <w:rsid w:val="7143163F"/>
    <w:rsid w:val="7149409E"/>
    <w:rsid w:val="715C5FA7"/>
    <w:rsid w:val="715E244A"/>
    <w:rsid w:val="7180493E"/>
    <w:rsid w:val="71A11124"/>
    <w:rsid w:val="71A81171"/>
    <w:rsid w:val="72144A37"/>
    <w:rsid w:val="72313C64"/>
    <w:rsid w:val="725858A5"/>
    <w:rsid w:val="729807FE"/>
    <w:rsid w:val="729D42B4"/>
    <w:rsid w:val="72CC087A"/>
    <w:rsid w:val="72D808DC"/>
    <w:rsid w:val="731F260B"/>
    <w:rsid w:val="732101C9"/>
    <w:rsid w:val="733C2FF2"/>
    <w:rsid w:val="73797A10"/>
    <w:rsid w:val="73907B42"/>
    <w:rsid w:val="739F00D5"/>
    <w:rsid w:val="73A355B8"/>
    <w:rsid w:val="73AF1999"/>
    <w:rsid w:val="73BD0467"/>
    <w:rsid w:val="7413358A"/>
    <w:rsid w:val="748337FF"/>
    <w:rsid w:val="74963132"/>
    <w:rsid w:val="74C12BB0"/>
    <w:rsid w:val="74E124F8"/>
    <w:rsid w:val="750220D2"/>
    <w:rsid w:val="75045BF0"/>
    <w:rsid w:val="75102A61"/>
    <w:rsid w:val="75245482"/>
    <w:rsid w:val="752A6334"/>
    <w:rsid w:val="75401680"/>
    <w:rsid w:val="755066F9"/>
    <w:rsid w:val="75666FB1"/>
    <w:rsid w:val="757C4F73"/>
    <w:rsid w:val="75971F2A"/>
    <w:rsid w:val="75A40F15"/>
    <w:rsid w:val="75B26173"/>
    <w:rsid w:val="75F048C4"/>
    <w:rsid w:val="75FB40F8"/>
    <w:rsid w:val="76035BA3"/>
    <w:rsid w:val="761927E9"/>
    <w:rsid w:val="76375C3E"/>
    <w:rsid w:val="763C34F6"/>
    <w:rsid w:val="764A1490"/>
    <w:rsid w:val="76617C75"/>
    <w:rsid w:val="767E34F8"/>
    <w:rsid w:val="76C82F33"/>
    <w:rsid w:val="770463F7"/>
    <w:rsid w:val="77073E95"/>
    <w:rsid w:val="77200316"/>
    <w:rsid w:val="772E1233"/>
    <w:rsid w:val="774C1F96"/>
    <w:rsid w:val="77787755"/>
    <w:rsid w:val="77816447"/>
    <w:rsid w:val="779F0FD7"/>
    <w:rsid w:val="77D902D4"/>
    <w:rsid w:val="77DB45A0"/>
    <w:rsid w:val="77F705F6"/>
    <w:rsid w:val="78106B35"/>
    <w:rsid w:val="784A29E9"/>
    <w:rsid w:val="78661DB2"/>
    <w:rsid w:val="78A969EB"/>
    <w:rsid w:val="78C54FC9"/>
    <w:rsid w:val="78E17D27"/>
    <w:rsid w:val="78E439FC"/>
    <w:rsid w:val="78FB4529"/>
    <w:rsid w:val="790C3730"/>
    <w:rsid w:val="79100A4F"/>
    <w:rsid w:val="79110F3D"/>
    <w:rsid w:val="791453EC"/>
    <w:rsid w:val="791C2FC9"/>
    <w:rsid w:val="7933291A"/>
    <w:rsid w:val="794021C2"/>
    <w:rsid w:val="79B5163A"/>
    <w:rsid w:val="79C64B7E"/>
    <w:rsid w:val="7A02619C"/>
    <w:rsid w:val="7A072E1B"/>
    <w:rsid w:val="7A0F12E6"/>
    <w:rsid w:val="7A252DCC"/>
    <w:rsid w:val="7A443267"/>
    <w:rsid w:val="7A6143A3"/>
    <w:rsid w:val="7A824C3A"/>
    <w:rsid w:val="7A995079"/>
    <w:rsid w:val="7AD756EB"/>
    <w:rsid w:val="7B022868"/>
    <w:rsid w:val="7B14763E"/>
    <w:rsid w:val="7B3103E1"/>
    <w:rsid w:val="7B662F0A"/>
    <w:rsid w:val="7B7219E0"/>
    <w:rsid w:val="7B7D7FD0"/>
    <w:rsid w:val="7B7E01AB"/>
    <w:rsid w:val="7BA638DF"/>
    <w:rsid w:val="7BC7231A"/>
    <w:rsid w:val="7BE26258"/>
    <w:rsid w:val="7BEA7F06"/>
    <w:rsid w:val="7C1576DC"/>
    <w:rsid w:val="7C461BA7"/>
    <w:rsid w:val="7C6F7A0C"/>
    <w:rsid w:val="7C730D95"/>
    <w:rsid w:val="7C811ABB"/>
    <w:rsid w:val="7C8A703A"/>
    <w:rsid w:val="7CAE04F0"/>
    <w:rsid w:val="7CD9145D"/>
    <w:rsid w:val="7CFB1E39"/>
    <w:rsid w:val="7D064E42"/>
    <w:rsid w:val="7D1B7473"/>
    <w:rsid w:val="7D575FA1"/>
    <w:rsid w:val="7D6E5376"/>
    <w:rsid w:val="7D885D6B"/>
    <w:rsid w:val="7D9E0355"/>
    <w:rsid w:val="7DAE272E"/>
    <w:rsid w:val="7DC51FB6"/>
    <w:rsid w:val="7DE03C2C"/>
    <w:rsid w:val="7DE71595"/>
    <w:rsid w:val="7DFF486E"/>
    <w:rsid w:val="7E3C48CF"/>
    <w:rsid w:val="7E43770C"/>
    <w:rsid w:val="7E6117B1"/>
    <w:rsid w:val="7E6B77EA"/>
    <w:rsid w:val="7E975144"/>
    <w:rsid w:val="7EB81C0D"/>
    <w:rsid w:val="7EC218D0"/>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uiPriority w:val="1"/>
  </w:style>
  <w:style w:type="table" w:default="1" w:styleId="34">
    <w:name w:val="Normal Table"/>
    <w:semiHidden/>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8"/>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86407A-7262-44DE-AA3E-2C9BB5D69F8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2709</Words>
  <Characters>15442</Characters>
  <Lines>128</Lines>
  <Paragraphs>36</Paragraphs>
  <TotalTime>11</TotalTime>
  <ScaleCrop>false</ScaleCrop>
  <LinksUpToDate>false</LinksUpToDate>
  <CharactersWithSpaces>18115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2019-10-04T18:12:00Z</dcterms:created>
  <dc:creator>ZTE</dc:creator>
  <cp:lastModifiedBy>ZTE</cp:lastModifiedBy>
  <cp:lastPrinted>2011-10-28T07:16:00Z</cp:lastPrinted>
  <dcterms:modified xsi:type="dcterms:W3CDTF">2019-10-05T01:09:15Z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